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TAMG — Verordnungsermächtigung zur Regelung von Ausnahmen von der Großhandelsvertriebserlaubnis</w:t>
      </w:r>
    </w:p>
    <w:p>
      <w:r>
        <w:rPr>
          <w:color w:val="555555"/>
          <w:sz w:val="18"/>
        </w:rPr>
        <w:t xml:space="preserve">Tierarzneimittelgesetz</w:t>
      </w:r>
    </w:p>
    <w:p>
      <w:r>
        <w:rPr>
          <w:color w:val="555555"/>
          <w:sz w:val="18"/>
        </w:rPr>
        <w:t xml:space="preserve">Stand: 14.08.2026 (konsolidierte Textfassung, kein amtliches Inkrafttretensdatum)</w:t>
      </w:r>
    </w:p>
    <w:p>
      <w:r>
        <w:t xml:space="preserve">Das Bundesministerium für Ernährung und Landwirtschaft wird ermächtigt, im Einvernehmen mit dem Bundesministerium für Gesundheit durch Rechtsverordnung mit Zustimmung des Bundesrates, soweit es mit § 1 vereinbar ist, zu bestimmen,</w:t>
      </w:r>
    </w:p>
    <w:p>
      <w:pPr>
        <w:ind w:left="420"/>
      </w:pPr>
      <w:r>
        <w:t xml:space="preserve">1. dass die Abgabe kleiner Mengen von Tierarzneimitteln zwischen zwei Einzelhändlerinnen oder Einzelhändlern im Geltungsbereich dieses Gesetzes nicht an die Voraussetzung gebunden ist, eine Großhandelsvertriebserlaubnis zu besitzen, und</w:t>
      </w:r>
    </w:p>
    <w:p>
      <w:pPr>
        <w:ind w:left="420"/>
      </w:pPr>
      <w:r>
        <w:t xml:space="preserve">2. unter welchen Voraussetzungen eine Abgabe nach Nummer 1 zulässig ist.</w:t>
      </w:r>
    </w:p>
    <w:p>
      <w:r>
        <w:rPr>
          <w:color w:val="555555"/>
          <w:sz w:val="17"/>
        </w:rPr>
        <w:t xml:space="preserve">Zitiervorschlag: § 20 TAMG</w:t>
      </w:r>
    </w:p>
    <w:p>
      <w:r>
        <w:rPr>
          <w:color w:val="555555"/>
          <w:sz w:val="17"/>
        </w:rPr>
        <w:t xml:space="preserve">Quelle: Bundesamt für Justiz, abgerufen 14.08.2026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