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TAMG — Übermittlung von Informationen an die Produktdatenbank;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Bundesoberbehörde übermittelt der Europäischen Arzneimittel-Agentur die für die Datenbank der Union für Tierarzneimittel (Produktdatenbank) notwendigen Informationen. Die für die Durchführung dieses Gesetzes zuständigen Behörden und Stellen des Bundes und der Länder übermitteln der zuständigen Bundesoberbehörde die benötigten Informationen, soweit es sich um Daten handelt, die über das Zulassungsverfahren hinausgehen.</w:t>
      </w:r>
    </w:p>
    <w:p>
      <w:r>
        <w:t xml:space="preserve">(2) Das Bundesministerium für Ernährung und Landwirtschaft wird ermächtigt, durch Rechtsverordnung mit Zustimmung des Bundesrates nähere Einzelheiten des Verfahrens nach Absatz 1 zu regeln.</w:t>
      </w:r>
    </w:p>
    <w:p>
      <w:r>
        <w:rPr>
          <w:color w:val="555555"/>
          <w:sz w:val="17"/>
        </w:rPr>
        <w:t xml:space="preserve">Zitiervorschlag: § 12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