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TAMG — Zweck des Gesetzes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Zweck dieses Gesetzes ist es, für den sicheren Verkehr mit Tierarzneimitteln und veterinärmedizintechnischen Produkten zu sorgen und die Qualität, Wirksamkeit und Unbedenklichkeit von Tierarzneimitteln und veterinärmedizintechnischen Produkten zu gewährleisten.</w:t>
      </w:r>
    </w:p>
    <w:p>
      <w:r>
        <w:t xml:space="preserve">(2) Die Bestimmungen dieses Gesetzes sollen ein hohes Schutzniveau für die Tiergesundheit, den Tierschutz und die Umwelt sowie den Schutz der öffentlichen Gesundheit gewährleisten. Die Bestimmungen dieses Gesetzes sollen darüber hinaus dazu beitragen, den Einsatz antibiotisch wirksamer Arzneimittel auf der Grundlage der ,Mitteilung der Kommission an das Europäische Parlament, den Rat, den Europäischen Wirtschafts- und Sozialausschuss und den Ausschuss der Regionen: „Vom Hof auf den Tisch“ – eine Strategie für ein faires, gesundes und umweltfreundliches Lebensmittelsystem‘ (Bundesratsdrucksache 280/20 vom 22. Mai 2020) um 50 Prozent zu reduzieren.</w:t>
      </w:r>
    </w:p>
    <w:p>
      <w:r>
        <w:t xml:space="preserve">(3) Dieses Gesetz dient ferner der Umsetzung und Durchführung von Rechtsakten der Europäischen Gemeinschaft oder der Europäischen Union, die den Anwendungsbereich dieses Gesetzes betreffen.</w:t>
      </w:r>
    </w:p>
    <w:p>
      <w:r>
        <w:rPr>
          <w:color w:val="555555"/>
          <w:sz w:val="17"/>
        </w:rPr>
        <w:t xml:space="preserve">Zitiervorschlag: § 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