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T-AZV 2000</w:t>
      </w:r>
    </w:p>
    <w:p>
      <w:r>
        <w:rPr>
          <w:color w:val="555555"/>
          <w:sz w:val="18"/>
        </w:rPr>
        <w:t xml:space="preserve">Telekom-Arbeitszeitverordnung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4 Satz 1 Nr. 2 des Postpersonalrechtsgesetzes vom 14. September 1994 (BGBl. I S. 2325, 2353) in Verbindung mit Artikel 56 des Zuständigkeitsanpassungs-Gesetzes vom 18. März 1975 (BGBl. I S. 705, 716) und dem Organisationserlass vom 17. Dezember 1997 (BGBl. 1998 I S. 68) verordnet das Bundesministerium der Finanzen auf Vorschlag des Vorstands der Deutschen Telekom AG und nach Anhörung der Bundesanstalt für Post und Telekommunikation Deutsche Bundespost:</w:t>
      </w:r>
    </w:p>
    <w:p>
      <w:r>
        <w:rPr>
          <w:color w:val="555555"/>
          <w:sz w:val="17"/>
        </w:rPr>
        <w:t xml:space="preserve">Zitiervorschlag: Eingangsformel T-AZV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https://recht.nulegal.eu/gesetze/T-AZV%202000/eingangsformel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