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T-AZV 2000 — Anwendung der Arbeitszeitverordnung</w:t>
      </w:r>
    </w:p>
    <w:p>
      <w:r>
        <w:rPr>
          <w:color w:val="555555"/>
          <w:sz w:val="18"/>
        </w:rPr>
        <w:t xml:space="preserve">Telekom-Arbeitszeitverordnung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bei der Deutschen Telekom AG beschäftigten Beamtinnen und Beamten gilt die Arbeitszeitverordnung, soweit in dieser Verordnung nichts anderes bestimmt ist.</w:t>
      </w:r>
    </w:p>
    <w:p>
      <w:r>
        <w:rPr>
          <w:color w:val="555555"/>
          <w:sz w:val="17"/>
        </w:rPr>
        <w:t xml:space="preserve">Zitiervorschlag: § 1 T-AZV 2000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https://recht.nulegal.eu/gesetze/T-AZV%202000/1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