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TätoV</w:t>
      </w:r>
    </w:p>
    <w:p>
      <w:r>
        <w:rPr>
          <w:color w:val="555555"/>
          <w:sz w:val="18"/>
        </w:rPr>
        <w:t xml:space="preserve">Tätowiermittel-Verordnung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Auf Grund des § 28 Abs. 1 Nr. 2 in Verbindung mit § 32 Abs. 1 Nr. 1, des § 28 Abs. 3 Nr. 1 und 2, des § 29 Abs. 1 Nr. 1 und 2 und des § 35 Nr. 1 und 2, jeweils in Verbindung mit § 4 Abs. 1 Nr. 3, des Lebensmittel- und Futtermittelgesetzbuches in der Fassung der Bekanntmachung vom 26. April 2006 (BGBl. I S. 945) verordnet das Bundesministerium für Ernährung, Landwirtschaft und Verbraucherschutz im Einvernehmen mit dem Bundesministerium für Wirtschaft und Technologie:</w:t>
      </w:r>
    </w:p>
    <w:p>
      <w:r>
        <w:rPr>
          <w:color w:val="555555"/>
          <w:sz w:val="17"/>
        </w:rPr>
        <w:t xml:space="preserve">Zitiervorschlag: Eingangsformel TätoV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https://recht.nulegal.eu/gesetze/T%C3%A4toV/eingangsformel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