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TätoV — Mitteilungspflichten</w:t>
      </w:r>
    </w:p>
    <w:p>
      <w:r>
        <w:rPr>
          <w:color w:val="555555"/>
          <w:sz w:val="18"/>
        </w:rPr>
        <w:t xml:space="preserve">Tätowiermittel-Verordnung</w:t>
      </w:r>
    </w:p>
    <w:p>
      <w:r>
        <w:rPr>
          <w:color w:val="555555"/>
          <w:sz w:val="18"/>
        </w:rPr>
        <w:t xml:space="preserve">Stand: 10.06.2019 (konsolidierte Textfassung, kein amtliches Inkrafttretensdatum)</w:t>
      </w:r>
    </w:p>
    <w:p>
      <w:r>
        <w:t xml:space="preserve">(1) Der Hersteller hat der für die Überwachung zuständigen Behörde, in deren Zuständigkeitsbereich der Ort der Herstellung liegt, vor dem erstmaligen Inverkehrbringen mitzuteilen, an welchem Ort das Mittel nach § 1 Satz 1 hergestellt wird. Der Hersteller kann die Verpflichtung nach Satz 1 auf einen Beauftragten übertragen. Hersteller ist auch, in dessen Auftrag ein Mittel hergestellt wird. Bei Mitteln, die aus dem Ausland eingeführt werden, hat der für die Einfuhr Verantwortliche vor der erstmaligen Einfuhr der Behörde, in deren Zuständigkeit der Ort der Einfuhr liegt, diesen Ort sowie die weiteren Orte, an denen die Mittel eingeführt werden, mitzuteilen. Die Behörde, der die Einfuhr eines Mittels mitgeteilt worden ist, unterrichtet im Falle der Nennung weiterer Einfuhrorte die dort für die Überwachung zuständigen Behörden über die Einfuhr des Mittels.</w:t>
      </w:r>
    </w:p>
    <w:p>
      <w:r>
        <w:t xml:space="preserve">(2) Der Hersteller oder der für die Einfuhr des Mittels nach § 1 Satz 1 Verantwortliche hat dem Bundesamt für Verbraucherschutz und Lebensmittelsicherheit (Bundesamt) im Interesse einer schnellen und wirksamen medizinischen Behandlung bei Gesundheitsstörungen vor jedem erstmaligen Inverkehrbringen eines Mittels folgende Angaben und jede Änderung dieser Angaben unverzüglich mitzuteilen:</w:t>
      </w:r>
    </w:p>
    <w:p>
      <w:pPr>
        <w:ind w:left="420"/>
      </w:pPr>
      <w:r>
        <w:t xml:space="preserve">1. Handelsname,</w:t>
      </w:r>
    </w:p>
    <w:p>
      <w:pPr>
        <w:ind w:left="420"/>
      </w:pPr>
      <w:r>
        <w:t xml:space="preserve">2. Zusammensetzung nach Art und Menge der verwendeten Stoffe und, soweit vorhanden, unter Verwendung der INCI-Bezeichnungen.</w:t>
      </w:r>
    </w:p>
    <w:p>
      <w:r>
        <w:t xml:space="preserve">Sind die Angaben in elektronischer Form verfügbar, sind sie auf elektronischem Weg dem Bundesamt zu übermitteln. Das Bundesamt leitet diese Angaben an die ihm von den zuständigen Behörden der Länder benannten Informations- und Behandlungszentren für Vergiftungen weiter.</w:t>
      </w:r>
    </w:p>
    <w:p>
      <w:r>
        <w:t xml:space="preserve">(3) Die Angaben nach Absatz 2 dürfen nur zu dem Zweck verwendet werden, Anfragen zur Behandlung von gesundheitlichen Beeinträchtigungen zu beantworten. Sie sind von anderen Unterlagen getrennt aufzubewahren.</w:t>
      </w:r>
    </w:p>
    <w:p>
      <w:r>
        <w:rPr>
          <w:color w:val="555555"/>
          <w:sz w:val="17"/>
        </w:rPr>
        <w:t xml:space="preserve">Zitiervorschlag: § 2 TätoV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https://recht.nulegal.eu/gesetze/T%C3%A4toV/2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