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TÜPrKostO1992GebVUmstV</w:t>
      </w:r>
    </w:p>
    <w:p>
      <w:r>
        <w:rPr>
          <w:color w:val="555555"/>
          <w:sz w:val="18"/>
        </w:rPr>
        <w:t xml:space="preserve">Verordnung zur Umstellung des Gebührenverzeichnisses der Kostenverordnung für die Prüfung überwachungsbedürftiger Anlagen auf Euro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2002 in Kraft.</w:t>
      </w:r>
    </w:p>
    <w:p>
      <w:r>
        <w:rPr>
          <w:color w:val="555555"/>
          <w:sz w:val="17"/>
        </w:rPr>
        <w:t xml:space="preserve">Zitiervorschlag: § 2 TÜPrKostO1992GebVUmstV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https://recht.nulegal.eu/gesetze/T%C3%9CPrKostO1992GebVUmstV/2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TÜPrKostO1992GebVUmstV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