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TÄHAV 2025 — Inkrafttreten, Außerkrafttreten</w:t>
      </w:r>
    </w:p>
    <w:p>
      <w:r>
        <w:rPr>
          <w:color w:val="555555"/>
          <w:sz w:val="18"/>
        </w:rPr>
        <w:t xml:space="preserve">Tierärztliche-Hausapothekenverordnung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 Gleichzeitig tritt die Verordnung über tierärztliche Hausapotheken in der Fassung der Bekanntmachung vom 8. Juli 2009 (BGBl. I S. 1760), die durch Artikel 1 der Verordnung vom 21. Februar 2018 (BGBl. I S. 213) geändert worden ist, außer Kraft.</w:t>
      </w:r>
    </w:p>
    <w:p>
      <w:r>
        <w:rPr>
          <w:color w:val="555555"/>
          <w:sz w:val="17"/>
        </w:rPr>
        <w:t xml:space="preserve">Zitiervorschlag: § 21 TÄHAV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https://recht.nulegal.eu/gesetze/T%C3%84HAV%202025/21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