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TÄHAV 2025 — Umwidmungsverbote</w:t>
      </w:r>
    </w:p>
    <w:p>
      <w:r>
        <w:rPr>
          <w:color w:val="555555"/>
          <w:sz w:val="18"/>
        </w:rPr>
        <w:t xml:space="preserve">Tierärztliche-Hausapothekenverordnung</w:t>
      </w:r>
    </w:p>
    <w:p>
      <w:r>
        <w:rPr>
          <w:color w:val="555555"/>
          <w:sz w:val="18"/>
        </w:rPr>
        <w:t xml:space="preserve">Stand: 01.01.2025 (konsolidierte Textfassung, kein amtliches Inkrafttretensdatum)</w:t>
      </w:r>
    </w:p>
    <w:p>
      <w:r>
        <w:t xml:space="preserve">(1) Die Umwidmung von Tierarzneimitteln oder Humanarzneimitteln, die Cephalosporine der dritten oder vierten Generation oder Fluorchinolone enthalten, ist verboten</w:t>
      </w:r>
    </w:p>
    <w:p>
      <w:pPr>
        <w:ind w:left="420"/>
      </w:pPr>
      <w:r>
        <w:t xml:space="preserve">1. bei Hund oder Katze abweichend von Artikel 112 der Verordnung (EU) 2019/6 und</w:t>
      </w:r>
    </w:p>
    <w:p>
      <w:pPr>
        <w:ind w:left="420"/>
      </w:pPr>
      <w:r>
        <w:t xml:space="preserve">2. bei Rind, Schwein, Pute oder Huhn abweichend von Artikel 113 der Verordnung (EU) 2019/6.</w:t>
      </w:r>
    </w:p>
    <w:p>
      <w:r>
        <w:t xml:space="preserve">Satz 1 gilt nicht, sofern es im Rahmen der Behandlung zu einem Wechsel des in den Zulassungsbedingungen genannten Anwendungsgebietes, nicht aber der in den Zulassungsbedingungen genannten Tierart kommt.</w:t>
      </w:r>
    </w:p>
    <w:p>
      <w:r>
        <w:t xml:space="preserve">(2) Die Umwidmung von Colistin enthaltenden und nach den Zulassungsbedingungen zur oralen Anwendung bestimmten Tierarzneimitteln ist verboten bei der Lebensmittelgewinnung dienenden Tieren abweichend von Artikel 113 der Verordnung (EU) 2019/6.</w:t>
      </w:r>
    </w:p>
    <w:p>
      <w:r>
        <w:t xml:space="preserve">(3) Die Absätze 1 und 2 gelten nicht, sofern im Einzelfall die notwendige arzneiliche Versorgung der Tiere ernstlich gefährdet ist. In diesem Fall ist von der Tierärztin oder vom Tierarzt ein Nachweis zu führen, der die Gründe aufführt, warum die notwendige arzneiliche Versorgung der Tiere ernstlich gefährdet gewesen ist.</w:t>
      </w:r>
    </w:p>
    <w:p>
      <w:r>
        <w:rPr>
          <w:color w:val="555555"/>
          <w:sz w:val="17"/>
        </w:rPr>
        <w:t xml:space="preserve">Zitiervorschlag: § 12 TÄHAV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https://recht.nulegal.eu/gesetze/T%C3%84HAV%202025/12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