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SzVersFachwPrV</w:t>
      </w:r>
    </w:p>
    <w:p>
      <w:r>
        <w:rPr>
          <w:color w:val="555555"/>
          <w:sz w:val="18"/>
        </w:rPr>
        <w:t xml:space="preserve">Verordnung über die Prüfung zum anerkannten Fortbildungsabschluss Geprüfter Sozialversicherungsfachwirt – Fachrichtung gesetzliche Renten- und knappschaftliche Sozialversicherung und Geprüfte Sozialversicherungsfachwirtin – Fachrichtung gesetzliche Renten- und knappschaftliche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Arbeit und Soziales:</w:t>
      </w:r>
    </w:p>
    <w:p>
      <w:r>
        <w:rPr>
          <w:color w:val="555555"/>
          <w:sz w:val="17"/>
        </w:rPr>
        <w:t xml:space="preserve">Zitiervorschlag: Eingangsformel SzVersFachwPrV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https://recht.nulegal.eu/gesetze/SzVersFachwPrV/eingangsformel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