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SzVersFachwPrV — Bestehen der Prüfung, Gesamtnote</w:t>
      </w:r>
    </w:p>
    <w:p>
      <w:r>
        <w:rPr>
          <w:color w:val="555555"/>
          <w:sz w:val="18"/>
        </w:rPr>
        <w:t xml:space="preserve">Verordnung über die Prüfung zum anerkannten Fortbildungsabschluss Geprüfter Sozialversicherungsfachwirt – Fachrichtung gesetzliche Renten- und knappschaftliche Sozialversicherung und Geprüfte Sozialversicherungsfachwirtin – Fachrichtung gesetzliche Renten- und knappschaftliche Sozialversicherung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Prüfung ist bestanden, wenn ohne Rundung in allen schriftlichen Prüfungsleistungen und in der zusammengefassten Bewertung des Prüfungsteils „Personalaufgaben“ jeweils mindestens 50 Punkte erreicht worden sind.</w:t>
      </w:r>
    </w:p>
    <w:p>
      <w:r>
        <w:t xml:space="preserve">(2) Ist die Prüfung bestanden, werden die folgenden Bewertungen jeweils kaufmännisch auf eine ganze Zahl gerundet:</w:t>
      </w:r>
    </w:p>
    <w:p>
      <w:pPr>
        <w:ind w:left="420"/>
      </w:pPr>
      <w:r>
        <w:t xml:space="preserve">1. die Bewertung für den Prüfungsteil „Sachaufgaben in allgemeinen Leistungsprozessen“,</w:t>
      </w:r>
    </w:p>
    <w:p>
      <w:pPr>
        <w:ind w:left="420"/>
      </w:pPr>
      <w:r>
        <w:t xml:space="preserve">2. die Bewertung für den Prüfungsteil „Sachaufgaben in besonderen Leistungsprozessen“ sowie</w:t>
      </w:r>
    </w:p>
    <w:p>
      <w:pPr>
        <w:ind w:left="420"/>
      </w:pPr>
      <w:r>
        <w:t xml:space="preserve">3. die zusammengefasste Bewertung für den Prüfungsteil „Personalaufgaben“.</w:t>
      </w:r>
    </w:p>
    <w:p>
      <w:r>
        <w:t xml:space="preserve">(3) Für die Bildung einer Gesamtnote ist als Gesamtpunktzahl das gewichtete arithmetische Mittel zu berechnen. Dabei werden die Bewertungen wie folgt gewichtet:</w:t>
      </w:r>
    </w:p>
    <w:p>
      <w:pPr>
        <w:ind w:left="420"/>
      </w:pPr>
      <w:r>
        <w:t xml:space="preserve">1. die Bewertung für den Prüfungsteil „Sachaufgaben in allgemeinen Leistungsprozessen“ mit 30 Prozent,</w:t>
      </w:r>
    </w:p>
    <w:p>
      <w:pPr>
        <w:ind w:left="420"/>
      </w:pPr>
      <w:r>
        <w:t xml:space="preserve">2. die Bewertung für den Prüfungsteil „Sachaufgaben in besonderen Leistungsprozessen“ mit 40 Prozent,</w:t>
      </w:r>
    </w:p>
    <w:p>
      <w:pPr>
        <w:ind w:left="420"/>
      </w:pPr>
      <w:r>
        <w:t xml:space="preserve">3. die Bewertung für den Prüfungsteil „Organisationsaufgaben“ mit 15 Prozent und</w:t>
      </w:r>
    </w:p>
    <w:p>
      <w:pPr>
        <w:ind w:left="420"/>
      </w:pPr>
      <w:r>
        <w:t xml:space="preserve">4. die Bewertung für den Prüfungsteil „Personalaufgaben“ mit 15 Prozent.</w:t>
      </w:r>
    </w:p>
    <w:p>
      <w:r>
        <w:t xml:space="preserve">Die Gesamtpunktzahl ist kaufmännisch auf eine ganze Zahl zu runden. Der gerundeten Gesamtpunktzahl wird nach Anlage 1 die Note als Dezimalzahl und die Note in Worten zugeordnet. Die zugeordnete Note ist die Gesamtnote.</w:t>
      </w:r>
    </w:p>
    <w:p>
      <w:r>
        <w:rPr>
          <w:color w:val="555555"/>
          <w:sz w:val="17"/>
        </w:rPr>
        <w:t xml:space="preserve">Zitiervorschlag: § 7 SzVersFachwPrV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https://recht.nulegal.eu/gesetze/SzVersFachwPrV/7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