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SzPlusVertV (Brandenburg) — Inkrafttreten, Außerkrafttreten</w:t>
      </w:r>
    </w:p>
    <w:p>
      <w:r>
        <w:rPr>
          <w:color w:val="555555"/>
          <w:sz w:val="18"/>
        </w:rPr>
        <w:t xml:space="preserve">Schlüsselzuweisung Plus-Verteilverordnung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Verordnung tritt mit Wirkung vom 1. Januar 2023 in Kraft. Sie tritt mit Ablauf des 31. Dezember 2026 außer Kraft.</w:t>
      </w:r>
    </w:p>
    <w:p>
      <w:r>
        <w:t xml:space="preserve">Potsdam, den 6. März 2023</w:t>
      </w:r>
    </w:p>
    <w:p>
      <w:r>
        <w:t xml:space="preserve">Die Ministerin der Finanzen und für Europa</w:t>
      </w:r>
    </w:p>
    <w:p>
      <w:r>
        <w:t xml:space="preserve">Katrin Lange</w:t>
      </w:r>
    </w:p>
    <w:p>
      <w:r>
        <w:rPr>
          <w:color w:val="555555"/>
          <w:sz w:val="17"/>
        </w:rPr>
        <w:t xml:space="preserve">Zitiervorschlag: § 8 SzPlusVertV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https://recht.nulegal.eu/gesetze/SzPlusVertV/8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