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SzPlusVertV (Brandenburg) — Verfahrensregelungen</w:t>
      </w:r>
    </w:p>
    <w:p>
      <w:r>
        <w:rPr>
          <w:color w:val="555555"/>
          <w:sz w:val="18"/>
        </w:rPr>
        <w:t xml:space="preserve">Schlüsselzuweisung Plus-Verteilverordnung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Die Schlüsselzuweisung Plus wird durch das für Finanzen zuständige Ministerium errechnet und festgesetzt. Die Regelungen des § 19 Absatz 1 Satz 2, Absatz 2 Satz 1 und Absatz 3 des Brandenburgischen Finanzausgleichsgesetzes finden entsprechend Anwendung. Die Festsetzung der Schlüsselzuweisung Plus erfolgt mit der Festsetzung der Schlüsselzuweisungen.</w:t>
      </w:r>
    </w:p>
    <w:p>
      <w:r>
        <w:t xml:space="preserve">(2) Die Schlüsselzuweisung Plus wird in die Umlagegrundlagen der Kreisumlage einbezogen.</w:t>
      </w:r>
    </w:p>
    <w:p>
      <w:r>
        <w:rPr>
          <w:color w:val="555555"/>
          <w:sz w:val="17"/>
        </w:rPr>
        <w:t xml:space="preserve">Zitiervorschlag: § 7 SzPlusVertV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https://recht.nulegal.eu/gesetze/SzPlusVertV/7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