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SzPlusVertV (Brandenburg) — Berechnung der Schlüsselzuweisung Plus</w:t>
      </w:r>
    </w:p>
    <w:p>
      <w:r>
        <w:rPr>
          <w:color w:val="555555"/>
          <w:sz w:val="18"/>
        </w:rPr>
        <w:t xml:space="preserve">Schlüsselzuweisung Plus-Verteilverordnung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Zielniveau eines Ausgleichsjahres ist so zu berechnen und auf zwei Stellen nach dem Komma festzusetzen, dass die Verteilmasse gemäß § 5 Absatz 4 Satz 2 des Brandenburgischen Finanzausgleichsgesetzes soweit wie rechnerisch möglich aufgebraucht wird.</w:t>
      </w:r>
    </w:p>
    <w:p>
      <w:r>
        <w:t xml:space="preserve">(2) Das Zielniveau des jeweiligen Ausgleichsjahres darf den Wert von 85 Prozent der Finanzkraft nicht überschreiten.</w:t>
      </w:r>
    </w:p>
    <w:p>
      <w:r>
        <w:rPr>
          <w:color w:val="555555"/>
          <w:sz w:val="17"/>
        </w:rPr>
        <w:t xml:space="preserve">Zitiervorschlag: § 6 SzPlusVertV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https://recht.nulegal.eu/gesetze/SzPlusVertV/6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