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SzPlusVertV (Brandenburg) — Finanzkraft</w:t>
      </w:r>
    </w:p>
    <w:p>
      <w:r>
        <w:rPr>
          <w:color w:val="555555"/>
          <w:sz w:val="18"/>
        </w:rPr>
        <w:t xml:space="preserve">Schlüsselzuweisung Plus-Verteilverordnung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Finanzkraft einer Gemeinde oder verbandsgemeindeangehörigen Gemeinde gemäß § 5 Absatz 4 Satz 4 und 5 des Brandenburgischen Finanzausgleichsgesetzes gilt als erheblich unterdurchschnittlich im Sinne dieser Verordnung, wenn das gemäß § 6 Absatz 1 ermittelte Zielniveau unterschritten wird.</w:t>
      </w:r>
    </w:p>
    <w:p>
      <w:r>
        <w:t xml:space="preserve">(2) Bei der Berechnung der Finanzkraft wird die im Vorjahr maßgebliche Steuerkraftmesszahl zum Gebietsstand vom 1. Januar dieses Vorjahres ermittelt. Als Einwohnerzahl gilt die vom Amt für Statistik Berlin-Brandenburg nach den Ergebnissen der letzten Volkszählung (Zensus) auf den 31. Dezember des vorvergangenen Jahres des für die Steuerkraftmesszahl maßgeblichen Jahres fortgeschriebene und veröffentlichte Bevölkerungszahl. § 20 Satz 3 des Brandenburgischen Finanzausgleichsgesetzes findet entsprechend Anwendung.</w:t>
      </w:r>
    </w:p>
    <w:p>
      <w:r>
        <w:rPr>
          <w:color w:val="555555"/>
          <w:sz w:val="17"/>
        </w:rPr>
        <w:t xml:space="preserve">Zitiervorschlag: § 4 SzPlusVertV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https://recht.nulegal.eu/gesetze/SzPlusVertV/4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