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SzPlusVertV (Brandenburg) — Umfang der Schlüsselzuweisung Plus</w:t>
      </w:r>
    </w:p>
    <w:p>
      <w:r>
        <w:rPr>
          <w:color w:val="555555"/>
          <w:sz w:val="18"/>
        </w:rPr>
        <w:t xml:space="preserve">Schlüsselzuweisung Plus-Verteilverordnung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Finanzierung der Schlüsselzuweisung Plus werden in dem jeweiligen Ausgleichsjahr die erforderlichen Mittel dem Anteil der allgemeinen Schlüsselmasse für kreisangehörige Gemeinden, Verbandsgemeinden und kreisfreie Städte für Gemeindeaufgaben gemäß § 5 Absatz 3 Satz 4 Nummer 1 des Brandenburgischen Finanzausgleichsgesetzes entnommen. Die Entnahme erfolgt vor Verwendung und rechnerischer Aufteilung der Teilschlüsselmasse nach Satz 1.</w:t>
      </w:r>
    </w:p>
    <w:p>
      <w:r>
        <w:t xml:space="preserve">(2) Die Entnahme nach Absatz 1 Satz 1 darf im jeweiligen Ausgleichsjahr gemäß § 5 Absatz 4 Satz 2 des Brandenburgischen Finanzausgleichsgesetzes den Betrag von 50 Prozent des Aufkommens der Finanzausgleichsumlage, das nach § 1 Absatz 4 und § 17a Absatz 3 Satz 4 des Brandenburgischen Finanzausgleichsgesetzes im kommunalen Finanzausgleich dieses Jahres bereitgestellt wird, nicht überschreiten.</w:t>
      </w:r>
    </w:p>
    <w:p>
      <w:r>
        <w:rPr>
          <w:color w:val="555555"/>
          <w:sz w:val="17"/>
        </w:rPr>
        <w:t xml:space="preserve">Zitiervorschlag: § 3 SzPlusVertV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https://recht.nulegal.eu/gesetze/SzPlusVertV/3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