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SystElektronAusbV 2008 — Gesellenprüfung</w:t>
      </w:r>
    </w:p>
    <w:p>
      <w:r>
        <w:rPr>
          <w:color w:val="555555"/>
          <w:sz w:val="18"/>
        </w:rPr>
        <w:t xml:space="preserve">Verordnung über die Berufsausbildung zum Systemelektroniker und zur Systemelektronikerin</w:t>
      </w:r>
    </w:p>
    <w:p>
      <w:r>
        <w:rPr>
          <w:color w:val="555555"/>
          <w:sz w:val="18"/>
        </w:rPr>
        <w:t xml:space="preserve">Historische Fassung: Stand 10.06.2019 bis 01.08.2021. Dies ist nicht die aktuelle Fassung.</w:t>
      </w:r>
    </w:p>
    <w:p>
      <w:r>
        <w:t xml:space="preserve">(1) Die Gesellenprüfung besteht aus den zeitlich auseinanderfallenden Teilen 1 und 2. Durch die Gesellenprüfung ist festzustellen, ob der Prüfling die berufliche Handlungsfähigkeit erworben hat. In der Gesellenprüfung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 Dabei sollen die Qualifikationen, die bereits Gegenstand von Teil 1 der Gesellenprüfung waren, in Teil 2 der Gesellenprüfung nur insoweit einbezogen werden, als es für die Feststellung der Berufsbefähigung erforderlich ist.</w:t>
      </w:r>
    </w:p>
    <w:p>
      <w:r>
        <w:t xml:space="preserve">(2) Bei der Ermittlung des Gesamtergebnisses wird Teil 1 der Gesellenprüfung mit 40 Prozent, Teil 2 der Gesellenprüfung mit 60 Prozent gewichtet.</w:t>
      </w:r>
    </w:p>
    <w:p>
      <w:r>
        <w:rPr>
          <w:color w:val="555555"/>
          <w:sz w:val="17"/>
        </w:rPr>
        <w:t xml:space="preserve">Zitiervorschlag: § 5 SystElektronAusbV 2008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https://recht.nulegal.eu/gesetze/SystElektronAusbV%202008/5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