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SysStabV — Pflichten der Betreiber von Anlagen zur Erzeugung von Strom aus solarer Strahlungsenergie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Betreiber von Anlagen im Sinne von § 2 Absatz 1 sind verpflichtet, die für die Vorbereitung der Nachrüstung erforderlichen Informationen innerhalb der nach § 8 Absatz 2 gesetzten Frist in der angeforderten Form an den Betreiber des Elektrizitätsverteilernetzes zu übermitteln.</w:t>
      </w:r>
    </w:p>
    <w:p>
      <w:r>
        <w:t xml:space="preserve">(2) Weiterhin sind Betreiber von Anlagen im Sinne von § 2 Absatz 1 verpflichtet, die Nachrüstung des an die Anlage angeschlossenen Wechselrichters durch eine vom Betreiber des Elektrizitätsverteilernetzes beauftragte fachkundige Person zu dem nach § 8 Absatz 3 vorgeschlagenen Zeitpunkt zu ermöglichen oder mindestens eine Kalenderwoche vor diesem Zeitpunkt einen neuen Zeitpunkt zur Durchführung der Nachrüstung vorzuschlagen; der neue Zeitpunkt darf nicht mehr als drei Wochen nach dem vom Betreiber des Elektrizitätsverteilernetzes vorgeschlagenen Zeitpunkt liegen.</w:t>
      </w:r>
    </w:p>
    <w:p>
      <w:r>
        <w:rPr>
          <w:color w:val="555555"/>
          <w:sz w:val="17"/>
        </w:rPr>
        <w:t xml:space="preserve">Zitiervorschlag: § 9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