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SysStabV — Informationspflicht der Übertragungsnetzbetreiber</w:t>
      </w:r>
    </w:p>
    <w:p>
      <w:r>
        <w:rPr>
          <w:color w:val="555555"/>
          <w:sz w:val="18"/>
        </w:rPr>
        <w:t xml:space="preserve">Systemstabilitätsverordnung</w:t>
      </w:r>
    </w:p>
    <w:p>
      <w:r>
        <w:rPr>
          <w:color w:val="555555"/>
          <w:sz w:val="18"/>
        </w:rPr>
        <w:t xml:space="preserve">Stand: 10.06.2019 (konsolidierte Textfassung, kein amtliches Inkrafttretensdatum)</w:t>
      </w:r>
    </w:p>
    <w:p>
      <w:r>
        <w:t xml:space="preserve">Die Betreiber von Übertragungsnetzen sind verpflichtet, den in ihrem Netzgebiet angeschlossenen Betreibern von Elektrizitätsverteilernetzen die für die Nachrüstung nach den §§ 4 und 5 erforderlichen Daten innerhalb von acht Kalenderwochen nach Inkrafttreten dieser Verordnung zu beschaffen und den in ihrem Netzgebiet angeschlossenen Betreibern von Elektrizitätsverteilernetzen zur Verfügung zu stellen. Die Daten sollen insbesondere darüber Auskunft geben, nach welcher der in den §§ 4 und 5 beschriebenen Varianten der Wechselrichter nachzurüsten und auf welchen Frequenzwert er im Falle der Variante nach § 4 Absatz 3 und § 5 Absatz 2 einzustellen ist.</w:t>
      </w:r>
    </w:p>
    <w:p>
      <w:r>
        <w:rPr>
          <w:color w:val="555555"/>
          <w:sz w:val="17"/>
        </w:rPr>
        <w:t xml:space="preserve">Zitiervorschlag: § 6 SysStabV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https://recht.nulegal.eu/gesetze/SysStabV/6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