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SysStabV — Verpflichtung zur Nachrüstung der Wechselrichter von Anlagen zur Erzeugung von Strom aus solarer Strahlungsenergie im Niederspannungsnetz</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Die Betreiber von Elektrizitätsverteilernetzen müssen vorbehaltlich der Absätze 2 bis 5 durch entsprechende Nachrüstung dafür sorgen, dass die an ihr Netz angeschlossenen Wechselrichter von Anlagen zur Erzeugung von Strom aus solarer Strahlungsenergie im Niederspannungsnetz nach § 2 Absatz 1 Nummer 1 die Anforderungen der Anwendungsregel VDE-AR-N 4105:2011-08, Abschnitte 5.7.3.3, 5.7.3.4 und 8.3.1 des Verbands der Elektrotechnik Elektronik Informationstechnik e. V. (VDE)[1] erfüllen.</w:t>
      </w:r>
    </w:p>
    <w:p>
      <w:r>
        <w:t xml:space="preserve">(2) Für den Fall, dass eine Nachrüstung nach Absatz 1 den Austausch des Wechselrichters erforderlich machen würde, beschränkt sich die Pflicht zur Nachrüstung darauf, dafür zu sorgen, dass bei dem Wechselrichter die Kennlinie „Frequenzabhängige Wirkleistungsreduktion“ der Wechselrichter entsprechend der Richtlinie des Bundesverbandes der Energie- und Wasserwirtschaft e. V. „Erzeugungsanlagen am Mittelspannungsnetz“, Kapitel 2.5.3 und Bild 2.5.3-1 sowie Kapitel 5.7.1 in der Fassung von Juni 2008[2] eingestellt ist. Für die Unterfrequenzabschaltung ist ein Wert von 47,5 Hertz einzustellen.</w:t>
      </w:r>
    </w:p>
    <w:p>
      <w:r>
        <w:t xml:space="preserve">(3) Für den Fall, dass auch die Nachrüstung nach Absatz 2 den Austausch des Wechselrichters erforderlich machen würde, beschränkt sich die Pflicht zur Nachrüstung darauf, dafür zu sorgen, dass die Überfrequenzabschaltung des Wechselrichters wie folgt eingestellt wird:</w:t>
      </w:r>
    </w:p>
    <w:p>
      <w:pPr>
        <w:ind w:left="420"/>
      </w:pPr>
      <w:r>
        <w:t xml:space="preserve">1. Ist bei dem Wechselrichter eine Frequenzeinstellung mit einer Auflösung von weniger als 0,1 Hertz nicht möglich, muss einer der folgenden Frequenzwerte in Hertz eingestellt werden: 50,30; 50,40; 50,50; 50,60; 50,70; 50,80; 50,90 oder 51,00.</w:t>
      </w:r>
    </w:p>
    <w:p>
      <w:pPr>
        <w:ind w:left="420"/>
      </w:pPr>
      <w:r>
        <w:t xml:space="preserve">2. Ist bei dem Wechselrichter eine Frequenzeinstellung mit einer Auflösung von weniger als 0,1 Hertz möglich, muss einer der folgenden Frequenzwerte in Hertz eingestellt werden: 50,25; 50,35; 50,45; 50,55; 50,65; 50,75; 50,85 oder 50,95.</w:t>
      </w:r>
    </w:p>
    <w:p>
      <w:r>
        <w:t xml:space="preserve">Der Frequenzwert ist für jeden Wechselrichter so festzulegen, dass sich eine gleichmäßige Verteilung der Abschaltfrequenzen über die gesamte Leistung des betroffenen Anlagenbestandes einer Regelzone ergibt. Für die Unterfrequenzabschaltung ist ein Wert von 47,5 Hertz einzustellen. Die Wiederzuschaltung muss bei Erreichen oder Unterschreiten der jeweiligen Abschaltfrequenz erfolgen, das heißt wenn die Einschaltfrequenz der Ausschaltfrequenz entspricht. Um ein wiederholtes Ein- und Ausschalten zu verhindern, muss die Wiedereinschaltung um mindestens 30 Sekunden verzögert erfolgen.</w:t>
      </w:r>
    </w:p>
    <w:p>
      <w:r>
        <w:t xml:space="preserve">(4) Für den Fall, dass auch die Nachrüstung nach Absatz 3 den Austausch des Wechselrichters erforderlich machen würde, besteht keine Pflicht zur Nachrüstung.</w:t>
      </w:r>
    </w:p>
    <w:p>
      <w:r>
        <w:t xml:space="preserve">(5) Eine Pflicht zur Nachrüstung besteht auch dann nicht, wenn die Wechselrichter nach den Vorschriften des technischen Hinweises „Rahmenbedingungen für eine Übergangsregelung zur frequenzabhängigen Wirkleistungssteuerung von PV-Anlagen am NS-Netz“ in der Fassung von März 2011[3] angeschlossen wurden.</w:t>
      </w:r>
    </w:p>
    <w:p>
      <w:r>
        <w:t xml:space="preserve">1 Zu beziehen bei VDE Verlag GmbH, Berlin (www.vde-verlag.de) und archivmäßig gesichert niedergelegt bei der Deutschen Nationalbibliothek in Leipzig.</w:t>
      </w:r>
    </w:p>
    <w:p>
      <w:r>
        <w:t xml:space="preserve">2 Zu beziehen bei Forum Netztechnik / Netzbetrieb im VDE (FNN), Berlin (http://www.vde.com/de/fnn/dokumente/Seiten/technRichtlinien.aspx) und archivmäßig gesichert niedergelegt bei der Deutschen Nationalbibliothek in Leipzig (http://d-nb.info/993475817).</w:t>
      </w:r>
    </w:p>
    <w:p>
      <w:r>
        <w:t xml:space="preserve">3 Zu beziehen bei Forum Netztechnik / Netzbetrieb im VDE (FNN), Berlin (http://www.vde.com/de/fnn/dokumente/Seiten/Hinweise.aspx) und archivmäßig gesichert niedergelegt bei der Deutschen Nationalbibliothek in Leipzig.</w:t>
      </w:r>
    </w:p>
    <w:p>
      <w:r>
        <w:rPr>
          <w:color w:val="555555"/>
          <w:sz w:val="17"/>
        </w:rPr>
        <w:t xml:space="preserve">Zitiervorschlag: § 4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