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SysStabV — Begriffsbestimmungen</w:t>
      </w:r>
    </w:p>
    <w:p>
      <w:r>
        <w:rPr>
          <w:color w:val="555555"/>
          <w:sz w:val="18"/>
        </w:rPr>
        <w:t xml:space="preserve">Systemstabilitätsverordnung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Im Sinne dieser Verordnung ist</w:t>
      </w:r>
    </w:p>
    <w:p>
      <w:pPr>
        <w:ind w:left="420"/>
      </w:pPr>
      <w:r>
        <w:t xml:space="preserve">1. „Anlage“ eine Anlage im Sinne von § 3 Nummer 1 des Erneuerbare-Energien-Gesetzes vom 25. Oktober 2008 (BGBl. I S. 2074) in der am 31. Dezember 2011 geltenden Fassung und eine KWK-Anlage im Sinne von § 3 Absatz 2 des Kraft-Wärme-Kopplungsgesetzes vom 19. März 2002 (BGBl. I S.1092) in der am 31. Dezember 2011 geltenden Fassung; § 6 Absatz 3 des Erneuerbare-Energien-Gesetzes vom 25. Oktober 2008 (BGBl. I S. 2074) in der am 20. Dezember 2012 geltenden Fassung ist auf Anlagen im Sinne von § 2 Absatz 1 entsprechend anzuwenden; mehrere unmittelbar miteinander verbundene KWK-Anlagen an einem Standort gelten in Bezug auf die in § 2 Absatz 2 Satz 1 Nummer 1 genannten Leistungsgrenzen als eine KWK-Anlage, soweit sie innerhalb von zwölf aufeinanderfolgenden Kalendermonaten in Dauerbetrieb genommen worden sind,</w:t>
      </w:r>
    </w:p>
    <w:p>
      <w:pPr>
        <w:ind w:left="420"/>
      </w:pPr>
      <w:r>
        <w:t xml:space="preserve">2. „Betreiber einer Anlage,“ wer unabhängig vom Eigentum eine Anlage nach § 2 nutzt,</w:t>
      </w:r>
    </w:p>
    <w:p>
      <w:pPr>
        <w:ind w:left="420"/>
      </w:pPr>
      <w:r>
        <w:t xml:space="preserve">3. „Entkupplungsschutzeinrichtung“ eine Einrichtung, die die Anlage bei unzulässigen Spannungs- und Frequenzabweichungen vom Netz trennt,</w:t>
      </w:r>
    </w:p>
    <w:p>
      <w:pPr>
        <w:ind w:left="420"/>
      </w:pPr>
      <w:r>
        <w:t xml:space="preserve">4. „Inbetriebnahme“</w:t>
      </w:r>
    </w:p>
    <w:p>
      <w:pPr>
        <w:ind w:left="780"/>
      </w:pPr>
      <w:r>
        <w:t xml:space="preserve">a) bei KWK-Anlagen: der Zeitpunkt der Zulassung im Sinne des § 6 Absatz 2 Satz 1 des Kraft-Wärme-Kopplungsgesetzes vom 19. März 2002 (BGBl. I S. 1092), das zuletzt durch Artikel 13 des Gesetzes vom 21. Juli 2014 (BGBl. I S. 1066) geändert worden ist, und</w:t>
      </w:r>
    </w:p>
    <w:p>
      <w:pPr>
        <w:ind w:left="780"/>
      </w:pPr>
      <w:r>
        <w:t xml:space="preserve">b) bei sonstigen Anlagen im Sinne von § 2: die Inbetriebnahme einer Anlage gemäß § 3 Nummer 5 des Erneuerbare-Energien-Gesetzes vom 25. Oktober 2008 (BGBl. I S. 2074) in der am 31. Dezember 2011 geltenden Fassung,</w:t>
      </w:r>
    </w:p>
    <w:p>
      <w:pPr>
        <w:ind w:left="420"/>
      </w:pPr>
      <w:r>
        <w:t xml:space="preserve">5. „Netzbetreiber“ in Abweichung von § 3 Nummer 77 des Energiewirtschaftsgesetzes, wer ein Elektrizitätsverteilernetz oder ein Übertragungsnetz betreibt, an das Anlagen im Sinne von § 2 Absatz 2 unmittelbar angeschlossen sind,</w:t>
      </w:r>
    </w:p>
    <w:p>
      <w:pPr>
        <w:ind w:left="420"/>
      </w:pPr>
      <w:r>
        <w:t xml:space="preserve">6. „Betreiber von Entkupplungsschutzeinrichtungen“, wer unabhängig vom Eigentum eine Entkupplungsschutzeinrichtung betreibt.</w:t>
      </w:r>
    </w:p>
    <w:p>
      <w:r>
        <w:rPr>
          <w:color w:val="555555"/>
          <w:sz w:val="17"/>
        </w:rPr>
        <w:t xml:space="preserve">Zitiervorschlag: § 3 SysStabV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https://recht.nulegal.eu/gesetze/SysStabV/3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