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SysStabV — Anteilige Kostenübernahme</w:t>
      </w:r>
    </w:p>
    <w:p>
      <w:r>
        <w:rPr>
          <w:color w:val="555555"/>
          <w:sz w:val="18"/>
        </w:rPr>
        <w:t xml:space="preserve">Systemstabilitätsverordnung</w:t>
      </w:r>
    </w:p>
    <w:p>
      <w:r>
        <w:rPr>
          <w:color w:val="555555"/>
          <w:sz w:val="18"/>
        </w:rPr>
        <w:t xml:space="preserve">Stand: 24.12.2025 (konsolidierte Textfassung, kein amtliches Inkrafttretensdatum)</w:t>
      </w:r>
    </w:p>
    <w:p>
      <w:r>
        <w:t xml:space="preserve">(1) Die Betreiber von Übertragungsnetzen sind verpflichtet, den Betreibern von Anlagen gemäß § 2 Absatz 2 75 Prozent der durch die Verpflichtung zur Nachrüstung entstehenden Kosten zu erstatten, die den Betrag von 7,50 Euro je Kilowatt der installierten Leistung, im Falle von KWK-Anlagen gemäß § 2 Absatz 2 Nummer 1 je Kilowatt der installierten elektrischen Leistung der nachzurüstenden Anlage übersteigen (Eigenanteil der Betreiber einer Anlage), sofern die Voraussetzungen nach Absatz 2 erfüllt sind. Die gemäß Satz 1 zu erstattenden Kosten werden durch die Netzbetreiber an die Betreiber der Anlagen ausgezahlt. Die Betreiber von Elektrizitätsverteilernetzen erhalten in der voraussichtlichen Höhe der Erstattungskosten quartalsweise Abschlagszahlungen von den Betreibern der Übertragungsnetze.</w:t>
      </w:r>
    </w:p>
    <w:p>
      <w:r>
        <w:t xml:space="preserve">(2) Die Betreiber von Anlagen können die Erstattung der in Absatz 1 Satz 1 bezeichneten Kosten bei den Betreibern von Übertragungsnetzen verlangen, wenn</w:t>
      </w:r>
    </w:p>
    <w:p>
      <w:pPr>
        <w:ind w:left="420"/>
      </w:pPr>
      <w:r>
        <w:t xml:space="preserve">1. die Kosten durch Vorlage einer Rechnung nachgewiesen werden und</w:t>
      </w:r>
    </w:p>
    <w:p>
      <w:pPr>
        <w:ind w:left="420"/>
      </w:pPr>
      <w:r>
        <w:t xml:space="preserve">2. entsprechende Kostenvoranschläge der geltend gemachten Kosten, die vor Beauftragung der Maßnahme bei dem jeweiligen Betreiber eines Übertragungsnetzes eingereicht worden sind, nicht gemäß Absatz 3 beanstandet wurden oder die Beanstandung durch die Bundesnetzagentur gemäß Absatz 5 als unbegründet angesehen wurde.</w:t>
      </w:r>
    </w:p>
    <w:p>
      <w:r>
        <w:t xml:space="preserve">(3) Der Betreiber des Übertragungsnetzes ist berechtigt, einen gemäß Absatz 2 Nummer 2 vorab übersandten Kostenvoranschlag innerhalb von vier Wochen ab Zugang durch eine schriftliche oder elektronische Mitteilung an den Betreiber der Anlage zu beanstanden, wenn</w:t>
      </w:r>
    </w:p>
    <w:p>
      <w:pPr>
        <w:ind w:left="420"/>
      </w:pPr>
      <w:r>
        <w:t xml:space="preserve">1. die Höhe des Kostenvoranschlags die Kosten für entsprechende Maßnahmen an vergleichbaren Anlagen in der Regelzone im Sinne von § 3 Nummer 88 des Energiewirtschaftsgesetzes des Betreibers des Übertragungsnetzes deutlich übersteigt oder</w:t>
      </w:r>
    </w:p>
    <w:p>
      <w:pPr>
        <w:ind w:left="420"/>
      </w:pPr>
      <w:r>
        <w:t xml:space="preserve">2. der Kostenvoranschlag aus anderen Gründen nicht nachvollziehbar ist.</w:t>
      </w:r>
    </w:p>
    <w:p>
      <w:r>
        <w:t xml:space="preserve">(4) Für den Fall, dass der Betreiber des Übertragungsnetzes den Kostenvoranschlag beanstandet, kann der Betreiber der Anlage den Kostenvoranschlag</w:t>
      </w:r>
    </w:p>
    <w:p>
      <w:pPr>
        <w:ind w:left="420"/>
      </w:pPr>
      <w:r>
        <w:t xml:space="preserve">1. nachbessern und bei dem Betreiber des Übertragungsnetzes erneut einreichen oder</w:t>
      </w:r>
    </w:p>
    <w:p>
      <w:pPr>
        <w:ind w:left="420"/>
      </w:pPr>
      <w:r>
        <w:t xml:space="preserve">2. zusammen mit der Beanstandung des Betreibers des Übertragungsnetzes an die Bundesnetzagentur zur Entscheidung über die Erstattungsfähigkeit der veranschlagten Kosten übersenden.</w:t>
      </w:r>
    </w:p>
    <w:p>
      <w:r>
        <w:t xml:space="preserve">(5) Die Bundesnetzagentur prüft den Kostenvoranschlag entsprechend den in Absatz 3 genannten Maßstäben. Sie teilt dem Betreiber der Anlage sowie dem Betreiber des Übertragungsnetzes ihre Entscheidung innerhalb von sechs Wochen nach Erhalt der Unterlagen gemäß Absatz 4 Nummer 2 mit. Für den Fall, dass die Bundesnetzagentur die Beanstandung des Betreibers des Übertragungsnetzes als begründet ansieht, gilt die Voraussetzung des Absatzes 2 Nummer 2 als nicht erfüllt.</w:t>
      </w:r>
    </w:p>
    <w:p>
      <w:r>
        <w:rPr>
          <w:color w:val="555555"/>
          <w:sz w:val="17"/>
        </w:rPr>
        <w:t xml:space="preserve">Zitiervorschlag: § 21 SysStabV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https://recht.nulegal.eu/gesetze/SysStabV/21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