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SysStabV — Frist zur Nachrüstung</w:t>
      </w:r>
    </w:p>
    <w:p>
      <w:r>
        <w:rPr>
          <w:color w:val="555555"/>
          <w:sz w:val="18"/>
        </w:rPr>
        <w:t xml:space="preserve">Systemstabilitätsverordnung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Betreiber von Anlagen gemäß § 2 Absatz 2 und Betreiber von Entkupplungsschutzeinrichtungen im Sinne von § 14 Absatz 1 sind verpflichtet, die Nachrüstung ihrer Anlage oder Entkupplungsschutzeinrichtung innerhalb von zwölf Monaten ab Zugang der schriftlichen oder elektronischen Nachrüstungsaufforderung gemäß § 12 nachzuweisen.</w:t>
      </w:r>
    </w:p>
    <w:p>
      <w:r>
        <w:t xml:space="preserve">(2) Die Frist zur Nachrüstung verlängert sich auf 18 Monate, wenn der Betreiber der Anlage</w:t>
      </w:r>
    </w:p>
    <w:p>
      <w:pPr>
        <w:ind w:left="420"/>
      </w:pPr>
      <w:r>
        <w:t xml:space="preserve">1. einen Ausnahmefall gemäß § 15 Absatz 1 Satz 1 oder Absatz 2 geltend macht,</w:t>
      </w:r>
    </w:p>
    <w:p>
      <w:pPr>
        <w:ind w:left="420"/>
      </w:pPr>
      <w:r>
        <w:t xml:space="preserve">2. nachweist, dass der Wartungstermin innerhalb von sechs Monaten nach Ablauf der Frist nach Absatz 1 stattfinden und die Nachrüstung im Rahmen des Wartungstermins vorgenommen wird, oder</w:t>
      </w:r>
    </w:p>
    <w:p>
      <w:pPr>
        <w:ind w:left="420"/>
      </w:pPr>
      <w:r>
        <w:t xml:space="preserve">3. nachweist, dass die zur Beurteilung der Nachrüstbarkeit seiner Anlage notwendigen Unterlagen nicht innerhalb der in Absatz 1 vorgegebenen Frist beigebracht werden können.</w:t>
      </w:r>
    </w:p>
    <w:p>
      <w:r>
        <w:t xml:space="preserve">(3) Die Frist ist gehemmt im Zeitraum vom Zugang des vollständigen Ausnahmebegehrens bei dem Netzbetreiber gemäß § 16 Absatz 1 Satz 1 bis zum Zugang der Mitteilung der Entscheidung gemäß § 17 Absatz 1 durch den Netzbetreiber an den Betreiber der Anlage sowie während der Prüffrist der Betreiber von Übertragungsnetzen gemäß § 21 Absatz 3 und der Bundesnetzagentur für Elektrizität, Gas, Telekommunikation, Post und Eisenbahnen (Bundesnetzagentur) gemäß § 21 Absatz 5.</w:t>
      </w:r>
    </w:p>
    <w:p>
      <w:r>
        <w:rPr>
          <w:color w:val="555555"/>
          <w:sz w:val="17"/>
        </w:rPr>
        <w:t xml:space="preserve">Zitiervorschlag: § 18 SysStabV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https://recht.nulegal.eu/gesetze/SysStabV/18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