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SysStabV — Ausnahmefälle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eingeschränkte Nachrüstungspflicht besteht für den Fall, dass der Betreiber einer Anlage gemäß § 2 Absatz 2 nachweist, dass eine Nachrüstung gemäß § 13 Absatz 2</w:t>
      </w:r>
    </w:p>
    <w:p>
      <w:pPr>
        <w:ind w:left="420"/>
      </w:pPr>
      <w:r>
        <w:t xml:space="preserve">1. den Austausch des Antriebsstrangs, des Generators oder der Leistungselektronik gemäß DIN IEC 60050-551:1999 „Internationales Elektrotechnisches Wörterbuch – Teil 551: Leistungselektronik (IEC 60050-551:1998)“[2] erforderlich machen würde,</w:t>
      </w:r>
    </w:p>
    <w:p>
      <w:pPr>
        <w:ind w:left="420"/>
      </w:pPr>
      <w:r>
        <w:t xml:space="preserve">2. eine mit den in Nummer 1 aufgeführten Fällen vergleichbare finanzielle Belastung ergeben würde oder</w:t>
      </w:r>
    </w:p>
    <w:p>
      <w:pPr>
        <w:ind w:left="420"/>
      </w:pPr>
      <w:r>
        <w:t xml:space="preserve">3. nicht zu geringeren Kosten führt, als die Nachrüstung der Frequenzschutzeinstellungen nach den allgemeinen anerkannten Regeln der Technik im Sinne des § 49 des Energiewirtschaftsgesetzes.</w:t>
      </w:r>
    </w:p>
    <w:p>
      <w:r>
        <w:t xml:space="preserve">In den Fällen nach Satz 1 Nummer 1 und 2 sind nicht die gemäß § 12 Satz 2 Nummer 1 geforderten Werte einzustellen, sondern die gemäß § 17 Absatz 1 von den Betreibern der Übertragungsnetze vorgegebenen Werte. Ein Fall nach Satz 1 Nummer 3 liegt vor, wenn die Einstellung der Werte den nachfolgenden Anforderungen entspricht:</w:t>
      </w:r>
    </w:p>
    <w:p>
      <w:pPr>
        <w:ind w:left="420"/>
      </w:pPr>
      <w:r>
        <w:t xml:space="preserve">1. bei Anlagen, die im Niederspannungsnetz angeschlossen sind, die Anforderung der Anwendungsregel VDE-AR-N 4105:2011-08, Abschnitte 5.7.3.3, 5.7.3.4 und 8.3.1 des Verbandes der Elektrotechnik Elektronik Informationstechnik e.V. (VDE)[3],</w:t>
      </w:r>
    </w:p>
    <w:p>
      <w:pPr>
        <w:ind w:left="420"/>
      </w:pPr>
      <w:r>
        <w:t xml:space="preserve">2. bei Anlagen, die im Mittelspannungsnetz angeschlossen sind, die Anforderung der Richtlinie des Bundesverbandes der Energie- und Wasserwirtschaft e. V. Erzeugungsanlagen am Mittelspannungsnetz, Kapitel 2.5.3 und Bild 2.5.3-1 sowie Kapitel 5.7.1 in der Fassung von Juni 2008[4] oder</w:t>
      </w:r>
    </w:p>
    <w:p>
      <w:pPr>
        <w:ind w:left="420"/>
      </w:pPr>
      <w:r>
        <w:t xml:space="preserve">3. bei Anlagen, die am Hoch- und Höchstspannungsnetz angeschlossen sind, die Anforderung des Leitfadens des Verbandes der Netzbetreiber e. V. EEG-Erzeugungsanlagen am Hoch- und Höchstspannungsnetz, Kapitel 9 in der Fassung von August 2004[5].</w:t>
      </w:r>
    </w:p>
    <w:p>
      <w:r>
        <w:t xml:space="preserve">(2) Keine Nachrüstungspflicht besteht, wenn der Betreiber der Anlage nachweist, dass</w:t>
      </w:r>
    </w:p>
    <w:p>
      <w:pPr>
        <w:ind w:left="420"/>
      </w:pPr>
      <w:r>
        <w:t xml:space="preserve">1. auch die Einstellung anderer als der in § 12 Satz 2 Nummer 1 vorgegebenen Werte die in Absatz 1 Nummer 1 oder Nummer 2 genannten Folgen hätte oder</w:t>
      </w:r>
    </w:p>
    <w:p>
      <w:pPr>
        <w:ind w:left="420"/>
      </w:pPr>
      <w:r>
        <w:t xml:space="preserve">2. die betreffende Anlage als Notstromaggregat gemäß der VDN-Richtlinie „Notstromaggregate – Richtlinie für Planung, Errichtung und Betrieb von Anlagen mit Notstromaggregaten“, 5. Auflage 2004[6], genutzt wird.</w:t>
      </w:r>
    </w:p>
    <w:p>
      <w:r>
        <w:t xml:space="preserve">2 Zu beziehen über den Beuth-Verlag.</w:t>
      </w:r>
    </w:p>
    <w:p>
      <w:r>
        <w:t xml:space="preserve">3 Zu beziehen über den VDE-Verlag und archivmäßig gesichert niedergelegt bei der Deutschen Nationalbibliothek in Leipzig.</w:t>
      </w:r>
    </w:p>
    <w:p>
      <w:r>
        <w:t xml:space="preserve">4 Zu beziehen bei Forum Netztechnik/Netzbetrieb im VDE (FNN), Berlin (http://www.vde.com/de/fnn/dokumente/Seiten/technRichtlinien.aspx) und archivmäßig gesichert niedergelegt bei der Deutschen Nationalbibliothek in Leipzig (http://d-nb.info/993475817).</w:t>
      </w:r>
    </w:p>
    <w:p>
      <w:r>
        <w:t xml:space="preserve">5 Zu beziehen bei Forum Netztechnik/Netzbetrieb im VDE (FNN), Berlin (http://www.vde.com/de/fnn/dokumente/Seiten/technRichtlinien.aspx) und archivmäßig gesichert niedergelegt bei der Deutschen Nationalbibliothek in Leipzig.</w:t>
      </w:r>
    </w:p>
    <w:p>
      <w:r>
        <w:t xml:space="preserve">6 Zu beziehen über den VDE-Verlag und archivmäßig gesichert niedergelegt bei der Deutschen Nationalbibliothek in Leipzig.</w:t>
      </w:r>
    </w:p>
    <w:p>
      <w:r>
        <w:rPr>
          <w:color w:val="555555"/>
          <w:sz w:val="17"/>
        </w:rPr>
        <w:t xml:space="preserve">Zitiervorschlag: § 15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