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SysStabV — Verpflichtung zur Nachrüstung von Entkupplungsschutzeinrichtungen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Fall, dass zwischen Anlagen gemäß § 2 Absatz 2 und dem Netzanschluss eine zusätzliche übergeordnete Entkupplungsschutzeinrichtung mit einem Frequenzschutz installiert ist, muss der Betreiber der Entkupplungsschutzeinrichtung diese innerhalb der Frist gemäß § 18 Absatz 1 in der Weise nachrüsten, dass für die untere Abschaltfrequenz ein Wert von 47,50 Hertz und für die obere Abschaltfrequenz ein Wert von 51,50 Hertz eingestellt wird.</w:t>
      </w:r>
    </w:p>
    <w:p>
      <w:r>
        <w:t xml:space="preserve">(2) Soweit der Betreiber der Entkupplungsschutzeinrichtung kein Netzbetreiber ist, kann der Netzbetreiber eine schriftliche oder elektronische Bestätigung der Abschaltfrequenzwerte von dem Betreiber der Entkupplungsschutzeinrichtung verlangen.</w:t>
      </w:r>
    </w:p>
    <w:p>
      <w:r>
        <w:t xml:space="preserve">(3) Die Ausnahmeregelungen der §§ 15 bis 17 sind nicht anwendbar.</w:t>
      </w:r>
    </w:p>
    <w:p>
      <w:r>
        <w:rPr>
          <w:color w:val="555555"/>
          <w:sz w:val="17"/>
        </w:rPr>
        <w:t xml:space="preserve">Zitiervorschlag: § 14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