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SysStabV — Vorbereitung der Nachrüstung</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(1) Die Frequenzschutzeinstellungen der gemäß § 2 Absatz 2 betroffenen Anlagen sind von den Betreibern von Übertragungsnetzen festzulegen. Sie sind so festzulegen, dass bei einer Netzfrequenz zwischen 47,50 Hertz und einschließlich 50,20 Hertz keine automatische Trennung der Anlagen vom Stromnetz erfolgt. Die obere Abschaltfrequenz jeder einzelnen betroffenen Anlage muss zwischen einem Wert von über 50,20 Hertz und einschließlich 51,50 Hertz liegen. Sie ist weiterhin so festzulegen, dass sich eine gleichmäßige Verteilung der oberen Abschaltfrequenzen über die gesamte Leistung des betroffenen Anlagenbestandes ergibt.</w:t>
      </w:r>
    </w:p>
    <w:p>
      <w:r>
        <w:t xml:space="preserve">(2) Die Betreiber von Elektrizitätsverteilernetzen, die nicht Betreiber eines geschlossenen Elektrizitätsverteilernetzes im Sinne von § 110 des Energiewirtschaftsgesetzes sind, sind verpflichtet, dem Betreiber des jeweiligen Übertragungsnetzes den Namen und die Anschrift der an ihr Netz unmittelbar angeschlossenen Betreiber von geschlossenen Elektrizitätsverteilernetzen bis zum 11. April 2015 mitzuteilen.</w:t>
      </w:r>
    </w:p>
    <w:p>
      <w:r>
        <w:t xml:space="preserve">(3) Die Betreiber von Übertragungsnetzen haben die nach Absatz 1 festgelegten Werte innerhalb von vier Wochen nach der Übermittlung der Informationen gemäß Absatz 2 an diejenigen Netzbetreiber, an deren Netz Anlagen unmittelbar angeschlossen sind, zu übermitteln.</w:t>
      </w:r>
    </w:p>
    <w:p>
      <w:r>
        <w:rPr>
          <w:color w:val="555555"/>
          <w:sz w:val="17"/>
        </w:rPr>
        <w:t xml:space="preserve">Zitiervorschlag: § 11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