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SysStabV — Kosten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Betreiber von Elektrizitätsverteilernetzen sind berechtigt, 50 Prozent der ihnen durch die Nachrüstung nach den §§ 4 bis 9 zusätzlich entstehenden jährlichen Kosten über die Netzentgelte geltend zu machen.</w:t>
      </w:r>
    </w:p>
    <w:p>
      <w:r>
        <w:t xml:space="preserve">(2) Auf Betreiber von geschlossenen Verteilernetzen ist Absatz 1 entsprechend anzuwenden.</w:t>
      </w:r>
    </w:p>
    <w:p>
      <w:r>
        <w:rPr>
          <w:color w:val="555555"/>
          <w:sz w:val="17"/>
        </w:rPr>
        <w:t xml:space="preserve">Zitiervorschlag: § 10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