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SudetStG (Bayern) — Stiftungsrat</w:t>
      </w:r>
    </w:p>
    <w:p>
      <w:r>
        <w:rPr>
          <w:color w:val="555555"/>
          <w:sz w:val="18"/>
        </w:rPr>
        <w:t xml:space="preserve">Gesetz über die Sudetendeutsche 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Dem Stiftungsrat obliegt die Entscheidung in allen wesentlichen Angelegenheiten der Stiftung.</w:t>
      </w:r>
    </w:p>
    <w:p>
      <w:r>
        <w:t xml:space="preserve">(2) Der Stiftungsrat besteht aus</w:t>
      </w:r>
    </w:p>
    <w:p>
      <w:r>
        <w:t xml:space="preserve">1. dem Ministerpräsidenten oder der Ministerpräsidentin als vorsitzendem Mitglied,</w:t>
      </w:r>
    </w:p>
    <w:p>
      <w:r>
        <w:t xml:space="preserve">2. dem Staatsminister oder der Staatsministerin für Familie, Arbeit und Soziales als dessen Stellvertreter,</w:t>
      </w:r>
    </w:p>
    <w:p>
      <w:r>
        <w:t xml:space="preserve">3. fünf Vertretern des Landtags, die dem Landtag nicht angehören müssen,</w:t>
      </w:r>
    </w:p>
    <w:p>
      <w:r>
        <w:t xml:space="preserve">4. fünf Vertretern aus dem Kreis der Sudetendeutschen, die vom Ministerpräsidenten im Einvernehmen mit der Sudetendeutschen Landsmannschaft bestellt werden und</w:t>
      </w:r>
    </w:p>
    <w:p>
      <w:r>
        <w:t xml:space="preserve">5. je einem Vertreter</w:t>
      </w:r>
    </w:p>
    <w:p>
      <w:r>
        <w:t xml:space="preserve">a) der Bundesregierung,</w:t>
      </w:r>
    </w:p>
    <w:p>
      <w:r>
        <w:t xml:space="preserve">b) der Staatskanzlei,</w:t>
      </w:r>
    </w:p>
    <w:p>
      <w:r>
        <w:t xml:space="preserve">c) des Staatsministeriums für Unterricht und Kultus,</w:t>
      </w:r>
    </w:p>
    <w:p>
      <w:r>
        <w:t xml:space="preserve">d) des Staatsministeriums der Finanzen und für Heimat und</w:t>
      </w:r>
    </w:p>
    <w:p>
      <w:r>
        <w:t xml:space="preserve">e) des Staatsministeriums für Familie, Arbeit und Soziales.</w:t>
      </w:r>
    </w:p>
    <w:p>
      <w:r>
        <w:t xml:space="preserve">Die Mitglieder nach Satz 1 Nr. 3 bis 5 werden jeweils für eine Dauer von fünf Jahren entsandt. Art. 6 Abs. 2 Satz 3 bis 5 gilt für sie entsprechend. Die Mitglieder nach Satz 1 können für die verbleibende Amtszeit nach Satz 2 bis zu drei weitere Personen in den Stiftungsrat wählen, wenn die Mitglieder diese Personen für die Förderung der Arbeit der Stiftung als besonders notwendig erachten.</w:t>
      </w:r>
    </w:p>
    <w:p>
      <w:r>
        <w:t xml:space="preserve">(3) Der Stiftungsrat gibt sich eine Geschäftsordnung. Die Mitglieder sind ehrenamtlich tätig. Sie erhalten Aufwendungsersatz.</w:t>
      </w:r>
    </w:p>
    <w:p>
      <w:r>
        <w:rPr>
          <w:color w:val="555555"/>
          <w:sz w:val="17"/>
        </w:rPr>
        <w:t xml:space="preserve">Zitiervorschlag: Art 7 SudetStG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https://recht.nulegal.eu/gesetze/SudetStG/7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