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SudetStG (Bayern) — Organe</w:t>
      </w:r>
    </w:p>
    <w:p>
      <w:r>
        <w:rPr>
          <w:color w:val="555555"/>
          <w:sz w:val="18"/>
        </w:rPr>
        <w:t xml:space="preserve">Gesetz über die Sudetendeutsche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der Stiftung sind:</w:t>
      </w:r>
    </w:p>
    <w:p>
      <w:r>
        <w:t xml:space="preserve">1. der Stiftungsvorstand,</w:t>
      </w:r>
    </w:p>
    <w:p>
      <w:r>
        <w:t xml:space="preserve">2. der Stiftungsrat.</w:t>
      </w:r>
    </w:p>
    <w:p>
      <w:r>
        <w:rPr>
          <w:color w:val="555555"/>
          <w:sz w:val="17"/>
        </w:rPr>
        <w:t xml:space="preserve">Zitiervorschlag: Art 5 SudetStG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https://recht.nulegal.eu/gesetze/SudetStG/5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