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SudetStG (Bayern) — Stiftungsmittel</w:t>
      </w:r>
    </w:p>
    <w:p>
      <w:r>
        <w:rPr>
          <w:color w:val="555555"/>
          <w:sz w:val="18"/>
        </w:rPr>
        <w:t xml:space="preserve">Gesetz über die Sudetendeutsche 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Stiftung erfüllt ihre Aufgaben aus</w:t>
      </w:r>
    </w:p>
    <w:p>
      <w:r>
        <w:t xml:space="preserve">1. dem Ertrag des Stiftungsvermögens,</w:t>
      </w:r>
    </w:p>
    <w:p>
      <w:r>
        <w:t xml:space="preserve">2. Zuwendungen und sonstigen Einnahmen, soweit sie nicht dem Stiftungsvermögen zuzuführen sind.</w:t>
      </w:r>
    </w:p>
    <w:p>
      <w:r>
        <w:rPr>
          <w:color w:val="555555"/>
          <w:sz w:val="17"/>
        </w:rPr>
        <w:t xml:space="preserve">Zitiervorschlag: Art 4 SudetStG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https://recht.nulegal.eu/gesetze/SudetStG/4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