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SudetStG (Bayern) — Stiftungsvermögen</w:t>
      </w:r>
    </w:p>
    <w:p>
      <w:r>
        <w:rPr>
          <w:color w:val="555555"/>
          <w:sz w:val="18"/>
        </w:rPr>
        <w:t xml:space="preserve">Gesetz über die Sudetendeutsche Stiftung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Stiftungsvermögen besteht aus</w:t>
      </w:r>
    </w:p>
    <w:p>
      <w:r>
        <w:t xml:space="preserve">1. dem zum 31. Dezember 2017 vorhandenen Grundstockvermögen sowie</w:t>
      </w:r>
    </w:p>
    <w:p>
      <w:r>
        <w:t xml:space="preserve">2. sonstigen Zuwendungen, soweit sie nicht zur Erfüllung des Stiftungszwecks bestimmt sind.</w:t>
      </w:r>
    </w:p>
    <w:p>
      <w:r>
        <w:rPr>
          <w:color w:val="555555"/>
          <w:sz w:val="17"/>
        </w:rPr>
        <w:t xml:space="preserve">Zitiervorschlag: Art 3 SudetStG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https://recht.nulegal.eu/gesetze/SudetStG/3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