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SudetStG (Bayern) — Zweck, Stiftungsgenuss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verfolgt ausschließlich und unmittelbar gemeinnützige Zwecke im Sinne der §§ 51 bis 52 und 55 bis 68 der Abgabenordnung, insbesondere auf kulturellem Gebiet. Sie hat vor allem</w:t>
      </w:r>
    </w:p>
    <w:p>
      <w:r>
        <w:t xml:space="preserve">1. in Ausführung des Gesetzesauftrags des § 96 des Bundesvertriebenengesetzes das sudetendeutsche Kulturgut zu pflegen, es im Bewußtsein der Vertriebenen, der gesamten deutschen Bevölkerung und des Auslands als bleibendes Zeugnis zu erhalten,</w:t>
      </w:r>
    </w:p>
    <w:p>
      <w:r>
        <w:t xml:space="preserve">2. die Aufgaben zu unterstützen, die der Staatsregierung aus der Schirmherrschaft über die Sudetendeutsche Volksgruppe erwachsen,</w:t>
      </w:r>
    </w:p>
    <w:p>
      <w:r>
        <w:t xml:space="preserve">3. Vermögensgegenstände natürlicher Personen sowie sudetendeutscher juristischer Personen des öffentlichen und privaten Rechts aufzunehmen und für die in Nummer 1 genannten Zwecke zu nutzen oder treuhänderisch zu verwalten,</w:t>
      </w:r>
    </w:p>
    <w:p>
      <w:r>
        <w:t xml:space="preserve">4. Einrichtungen mit Beziehung zur Sudetendeutschen Volksgruppe zu betreuen.</w:t>
      </w:r>
    </w:p>
    <w:p>
      <w:r>
        <w:t xml:space="preserve">(2) Ein Rechtsanspruch auf die Gewährung des jederzeit widerruflichen Stiftungsgenusses besteht nicht.</w:t>
      </w:r>
    </w:p>
    <w:p>
      <w:r>
        <w:rPr>
          <w:color w:val="555555"/>
          <w:sz w:val="17"/>
        </w:rPr>
        <w:t xml:space="preserve">Zitiervorschlag: Art 2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