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SudetStG (Bayern) — Satzung</w:t>
      </w:r>
    </w:p>
    <w:p>
      <w:r>
        <w:rPr>
          <w:color w:val="555555"/>
          <w:sz w:val="18"/>
        </w:rPr>
        <w:t xml:space="preserve">Gesetz über die Sudetendeutsche 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nähere Ausgestaltung der Stiftung wird durch eine Satzung geregelt. Diese erläßt die Staatsregierung.</w:t>
      </w:r>
    </w:p>
    <w:p>
      <w:r>
        <w:rPr>
          <w:color w:val="555555"/>
          <w:sz w:val="17"/>
        </w:rPr>
        <w:t xml:space="preserve">Zitiervorschlag: Art 10 SudetStG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https://recht.nulegal.eu/gesetze/SudetStG/10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