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SudetStG (Bayern) — Errichtung</w:t>
      </w:r>
    </w:p>
    <w:p>
      <w:r>
        <w:rPr>
          <w:color w:val="555555"/>
          <w:sz w:val="18"/>
        </w:rPr>
        <w:t xml:space="preserve">Gesetz über die Sudetendeutsche 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Unter dem Namen „Sudetendeutsche Stiftung“ wird eine rechtsfähige Stiftung des öffentlichen Rechts mit dem Sitz in München errichtet. Sie entsteht mit dem Inkrafttreten dieses Gesetzes.</w:t>
      </w:r>
    </w:p>
    <w:p>
      <w:r>
        <w:t xml:space="preserve">(2) Die Stiftung besitzt Dienstherrnfähigkeit und führt ein eigenes Dienstsiegel.</w:t>
      </w:r>
    </w:p>
    <w:p>
      <w:r>
        <w:rPr>
          <w:color w:val="555555"/>
          <w:sz w:val="17"/>
        </w:rPr>
        <w:t xml:space="preserve">Zitiervorschlag: Art 1 SudetStG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https://recht.nulegal.eu/gesetze/SudetStG/1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