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 SubvG — Bezeichnung der subventionserheblichen Tatsachen</w:t>
      </w:r>
    </w:p>
    <w:p>
      <w:r>
        <w:rPr>
          <w:color w:val="555555"/>
          <w:sz w:val="18"/>
        </w:rPr>
        <w:t xml:space="preserve">Subventionsgesetz</w:t>
      </w:r>
    </w:p>
    <w:p>
      <w:r>
        <w:rPr>
          <w:color w:val="555555"/>
          <w:sz w:val="18"/>
        </w:rPr>
        <w:t xml:space="preserve">Stand: 10.06.2019 (konsolidierte Textfassung, kein amtliches Inkrafttretensdatum)</w:t>
      </w:r>
    </w:p>
    <w:p>
      <w:r>
        <w:t xml:space="preserve">(1) Die für die Bewilligung einer Subvention zuständige Behörde oder andere in das Subventionsverfahren eingeschaltete Stelle oder Person (Subventionsgeber) hat vor der Bewilligung oder Gewährung einer Subvention demjenigen, der für sich oder einen anderen eine Subvention beantragt oder eine Subvention oder einen Subventionsvorteil in Anspruch nimmt (Subventionsnehmer), die Tatsachen als subventionserheblich im Sinne des § 264 des Strafgesetzbuches zu bezeichnen, die nach</w:t>
      </w:r>
    </w:p>
    <w:p>
      <w:pPr>
        <w:ind w:left="420"/>
      </w:pPr>
      <w:r>
        <w:t xml:space="preserve">1. dem Subventionszweck,</w:t>
      </w:r>
    </w:p>
    <w:p>
      <w:pPr>
        <w:ind w:left="420"/>
      </w:pPr>
      <w:r>
        <w:t xml:space="preserve">2. den Rechtsvorschriften, Verwaltungsvorschriften und Richtlinien über die Subventionsvergabe sowie</w:t>
      </w:r>
    </w:p>
    <w:p>
      <w:pPr>
        <w:ind w:left="420"/>
      </w:pPr>
      <w:r>
        <w:t xml:space="preserve">3. den sonstigen Vergabevoraussetzungen</w:t>
      </w:r>
    </w:p>
    <w:p>
      <w:r>
        <w:t xml:space="preserve">für die Bewilligung, Gewährung, Rückforderung, Weitergewährung oder das Belassen einer Subvention oder eines Subventionsvorteils erheblich sind.</w:t>
      </w:r>
    </w:p>
    <w:p>
      <w:r>
        <w:t xml:space="preserve">(2) Ergeben sich aus den im Subventionsverfahren gemachten Angaben oder aus sonstigen Umständen Zweifel, ob die beantragte oder in Anspruch genommene Subvention oder der in Anspruch genommene Subventionsvorteil mit dem Subventionszweck oder den Vergabevoraussetzungen nach Absatz 1 Nr. 2, 3 im Einklang steht, so hat der Subventionsgeber dem Subventionsnehmer die Tatsachen, deren Aufklärung zur Beseitigung der Zweifel notwendig erscheint, nachträglich als subventionserheblich im Sinne des § 264 des Strafgesetzbuches zu bezeichnen.</w:t>
      </w:r>
    </w:p>
    <w:p>
      <w:r>
        <w:rPr>
          <w:color w:val="555555"/>
          <w:sz w:val="17"/>
        </w:rPr>
        <w:t xml:space="preserve">Zitiervorschlag: § 2 SubvG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https://recht.nulegal.eu/gesetze/SubvG/2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