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SubvG — Geltungsbereich</w:t>
      </w:r>
    </w:p>
    <w:p>
      <w:r>
        <w:rPr>
          <w:color w:val="555555"/>
          <w:sz w:val="18"/>
        </w:rPr>
        <w:t xml:space="preserve">Subventionsgesetz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gilt, soweit Absatz 2 nichts anderes bestimmt, für Leistungen, die Subventionen im Sinne des § 264 des Strafgesetzbuches sind.</w:t>
      </w:r>
    </w:p>
    <w:p>
      <w:r>
        <w:t xml:space="preserve">(2) Für Leistungen nach Landesrecht, die Subventionen im Sinne des § 264 des Strafgesetzbuches sind, gelten die §§ 2 bis 6 nur, soweit das Landesrecht dies bestimmt.</w:t>
      </w:r>
    </w:p>
    <w:p>
      <w:r>
        <w:rPr>
          <w:color w:val="555555"/>
          <w:sz w:val="17"/>
        </w:rPr>
        <w:t xml:space="preserve">Zitiervorschlag: § 1 SubvG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https://recht.nulegal.eu/gesetze/SubvG/1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