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StufAVO-Feu NRW (Nordrhein-Westfalen) — Wirkung der Entlassung</w:t>
      </w:r>
    </w:p>
    <w:p>
      <w:r>
        <w:rPr>
          <w:color w:val="555555"/>
          <w:sz w:val="18"/>
        </w:rPr>
        <w:t xml:space="preserve">Stufenausbildungsverordnung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28 Absatz 3 des Landesbeamtengesetzes in der jeweils geltenden Fassung gilt sinngemäß. Übernimmt die Einstellungsbehörde die oder den Auszubildenden nicht in den Vorbereitungsdienst für die Laufbahn des zweiten Einstiegsamtes der Laufbahngruppe 1 des feuerwehrtechnischen Dienstes, führt sie nach Beendigung des Ausbildungsverhältnisses die Nachversicherung nach den für sie geltenden allgemeinen beamtenrechtlichen Bestimmungen durch.</w:t>
      </w:r>
    </w:p>
    <w:p>
      <w:r>
        <w:rPr>
          <w:color w:val="555555"/>
          <w:sz w:val="17"/>
        </w:rPr>
        <w:t xml:space="preserve">Zitiervorschlag: § 12 StufAVO-Feu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https://recht.nulegal.eu/gesetze/StufAVO-Feu%20NRW/12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StufAVO-Feu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