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StudakVO (Nordrhein-Westfalen) — Besondere Kriterien für Kooperationen mit nichthochschulischen Einrichtungen</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Umfang und Art bestehender Kooperationen mit Unternehmen und sonstigen Einrichtungen sind unter Einbezug nichthochschulischer Lernorte und Studienanteile sowie der Unterrichtssprache oder der Unterrichtssprachen vertraglich geregelt und auf der Internetseite der Hochschule beschrieben. Bei der Anwendung von Anrechnungsmodellen im Rahmen von studiengangbezogenen Kooperationen ist die inhaltliche Gleichwertigkeit anzurechnender nichthochschulischer Qualifikationen und deren Äquivalenz gemäß dem angestrebten Qualifikationsniveau nachvollziehbar dargelegt.</w:t>
      </w:r>
    </w:p>
    <w:p>
      <w:r>
        <w:t xml:space="preserve">(2) Im Fall von studiengangbezogenen Kooperationen mit nichthochschulischen Einrichtungen ist der Mehrwert für die künftigen Studierenden und die gradverleihende Hochschule nachvollziehbar dargelegt.</w:t>
      </w:r>
    </w:p>
    <w:p>
      <w:r>
        <w:rPr>
          <w:color w:val="555555"/>
          <w:sz w:val="17"/>
        </w:rPr>
        <w:t xml:space="preserve">Zitiervorschlag: § 9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