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StudakVO (Nordrhein-Westfalen) — Leistungspunktesystem</w:t>
      </w:r>
    </w:p>
    <w:p>
      <w:r>
        <w:rPr>
          <w:color w:val="555555"/>
          <w:sz w:val="18"/>
        </w:rPr>
        <w:t xml:space="preserve">Studienakkreditierungsverordnung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Jedem Modul ist in Abhängigkeit vom Arbeitsaufwand für die Studierenden eine bestimmte Anzahl von ECTS-Leistungspunkten zuzuordnen. Je Semester sind in der Regel 30 Leistungspunkte zu Grunde zu legen. Ein Leistungspunkt entspricht einer Gesamtarbeitsleistung der Studierenden im Präsenz- und Selbststudium von 25 bis höchstens 30 Zeitstunden. Für ein Modul werden ECTS-Leistungspunkte gewährt, wenn die in der Prüfungsordnung vorgesehenen Leistungen nachgewiesen werden. Die Vergabe von ECTS-Leistungspunkten setzt nicht zwingend eine Prüfung, sondern den erfolgreichen Abschluss des jeweiligen Moduls voraus.</w:t>
      </w:r>
    </w:p>
    <w:p>
      <w:r>
        <w:t xml:space="preserve">(2) Für den Bachelorabschluss sind nicht weniger als 180 ECTS-Leistungspunkte nachzuweisen. Für den Masterabschluss werden unter Einbeziehung des vorangehenden Studiums bis zum ersten berufsqualifizierenden Abschluss 300 ECTS-Leistungspunkte benötigt. Davon kann bei entsprechender Qualifikation der Studierenden im Einzelfall abgewichen werden, auch wenn nach Abschluss eines Masterstudiengangs 300 ECTS-Leistungspunkte nicht erreicht werden. Bei konsekutiven Bachelor- und Masterstudiengängen in den künstlerischen Kernfächern an Kunst- und Musikhochschulen mit einer Gesamtregelstudienzeit von sechs Jahren wird das Masterniveau mit 360 ECTS-Leistungspunkten erreicht.</w:t>
      </w:r>
    </w:p>
    <w:p>
      <w:r>
        <w:t xml:space="preserve">(3) Der Bearbeitungsumfang beträgt für die Bachelorarbeit sechs bis zwölf ECTS-Leistungspunkte und für die Masterarbeit 15 bis 30 ECTS-Leistungspunkte. In Studiengängen der Freien Kunst kann in begründeten Ausnahmefällen der Bearbeitungsumfang für die Bachelorarbeit bis zu 20 ECTS-Leistungspunkte und für die Masterarbeit bis zu 40 ECTS-Leistungspunkte betragen.</w:t>
      </w:r>
    </w:p>
    <w:p>
      <w:r>
        <w:t xml:space="preserve">(4) In begründeten Ausnahmefällen können für Studiengänge mit besonderen studienorganisatorischen Maßnahmen bis zu 75 ECTS-Leistungspunkte pro Studienjahr zugrunde gelegt werden. Dabei ist die Arbeitsbelastung eines ECTS-Leistungspunktes mit 30 Stunden bemessen. Besondere studienorganisatorische Maßnahmen können insbesondere Lernumfeld und Betreuung, Studienstruktur, Studienplanung und Maßnahmen zur Sicherung des Lebensunterhalts betreffen.</w:t>
      </w:r>
    </w:p>
    <w:p>
      <w:r>
        <w:t xml:space="preserve">(5) Bei Lehramtsstudiengängen für Lehrämter der Grundschule oder Primarstufe, für übergreifende Lehrämter der Primarstufe und aller oder einzelner Schularten der Sekundarstufe, für Lehrämter für alle oder einzelne Schularten der Sekundarstufe I sowie für Sonderpädagogische Lehrämter kann ein Masterabschluss vergeben werden, wenn nach mindestens 240 an der Hochschule erworbenen ECTS-Leistungspunkten unter Einbeziehung des Vorbereitungsdienstes insgesamt 300 ECTS-Leistungspunkte erreicht sind.</w:t>
      </w:r>
    </w:p>
    <w:p>
      <w:r>
        <w:rPr>
          <w:color w:val="555555"/>
          <w:sz w:val="17"/>
        </w:rPr>
        <w:t xml:space="preserve">Zitiervorschlag: § 8 StudakVO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https://recht.nulegal.eu/gesetze/StudakVO/8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