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StudakVO (Nordrhein-Westfalen) — Abschlüsse und Abschlussbezeichnungen</w:t>
      </w:r>
    </w:p>
    <w:p>
      <w:r>
        <w:rPr>
          <w:color w:val="555555"/>
          <w:sz w:val="18"/>
        </w:rPr>
        <w:t xml:space="preserve">Studienakkreditierungsverordnung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einem erfolgreich abgeschlossenen Bachelor- oder Masterstudiengang wird jeweils nur ein Grad, der Bachelor- oder Mastergrad, verliehen, es sei denn, es handelt sich um einen Multiple-Degree-Abschluss. Dabei findet keine Differenzierung der Abschlussgrade nach der Dauer der Regelstudienzeit statt.</w:t>
      </w:r>
    </w:p>
    <w:p>
      <w:r>
        <w:t xml:space="preserve">(2) Für Bachelor- und konsekutive Mastergrade sind folgende Bezeichnungen zu verwenden:</w:t>
      </w:r>
    </w:p>
    <w:p>
      <w:r>
        <w:t xml:space="preserve">1. Bachelor of Arts (B.A.) und Master of Arts (M.A.) in den Fächergruppen Sprach- und Kulturwissenschaften, Sport, Sportwissenschaft, Sozialwissenschaften, Kunstwissenschaft, Darstellende Kunst und bei entsprechender inhaltlicher Ausrichtung in der Fächergruppe Wirtschaftswissenschaften sowie in künstlerisch angewandten Studiengängen,</w:t>
      </w:r>
    </w:p>
    <w:p>
      <w:r>
        <w:t xml:space="preserve">2. Bachelor of Science (B.Sc.) und Master of Science (M.Sc.) in den Fächergruppen Mathematik, Naturwissenschaften, Medizin, Agrar-, Forst- und Ernährungswissenschaften, in den Fächergruppen Ingenieurwissenschaften und Wirtschaftswissenschaften bei entsprechender inhaltlicher Ausrichtung,</w:t>
      </w:r>
    </w:p>
    <w:p>
      <w:r>
        <w:t xml:space="preserve">3. Bachelor of Engineering (B.Eng.) und Master of Engineering (M.Eng.) in der Fächergruppe Ingenieurwissenschaften bei entsprechender inhaltlicher Ausrichtung,</w:t>
      </w:r>
    </w:p>
    <w:p>
      <w:r>
        <w:t xml:space="preserve">4. Bachelor of Laws (LL.B.) und Master of Laws (LL.M.) in der Fächergruppe Rechtswissenschaften,</w:t>
      </w:r>
    </w:p>
    <w:p>
      <w:r>
        <w:t xml:space="preserve">5. Bachelor of Fine Arts (B.F.A.) und Master of Fine Arts (M.F.A.) in der Fächergruppe Freie Kunst,</w:t>
      </w:r>
    </w:p>
    <w:p>
      <w:r>
        <w:t xml:space="preserve">6. Bachelor of Music (B.Mus.) und Master of Music (M.Mus.) in der Fächergruppe Musik oder</w:t>
      </w:r>
    </w:p>
    <w:p>
      <w:r>
        <w:t xml:space="preserve">7. Bachelor of Education (B.Ed.) und Master of Education (M.Ed.) für Studiengänge, in denen die Bildungsvoraussetzungen für ein Lehramt vermittelt werden. Für einen polyvalenten Studiengang kann entsprechend dem inhaltlichen Schwerpunkt des Studiengangs eine Bezeichnung nach den Nummern 1 bis 7 vorgesehen werden.</w:t>
      </w:r>
    </w:p>
    <w:p>
      <w:r>
        <w:t xml:space="preserve">Fachliche Zusätze zu den Abschlussbezeichnungen und gemischtsprachige Abschlussbezeichnungen sind ausgeschlossen. Bachelorgrade mit dem Zusatz „honours“ („B.A. hon.“) sind ausgeschlossen. Bei interdisziplinären und Kombinationsstudiengängen richtet sich die Abschlussbezeichnung nach demjenigen Fachgebiet, dessen Bedeutung im Studiengang überwiegt. Für Weiterbildungsstudiengänge dürfen auch Mastergrade verwendet werden, die von den vorgenannten Bezeichnungen abweichen. Für theologische Studiengänge, die für das Pfarramt, das Priesteramt und den Beruf der Pastoralreferentin oder des Pastoralreferenten qualifizieren („Theologisches Vollstudium“), können auch abweichende Bezeichnungen verwendet werden.</w:t>
      </w:r>
    </w:p>
    <w:p>
      <w:r>
        <w:t xml:space="preserve">(3) In den Abschlussdokumenten darf an geeigneter Stelle verdeutlicht werden, dass das Qualifikationsniveau des Bachelorabschlusses einem Diplomabschluss an Fachhochulen sowie das Qualifikationsniveau eines Masterabschlusses einem Diplomabschluss an Universitäten oder gleichgestellten Hochschulen entspricht.</w:t>
      </w:r>
    </w:p>
    <w:p>
      <w:r>
        <w:t xml:space="preserve">(4) Auskunft über das dem Abschluss zugrunde liegende Studium im Einzelnen erteilt das Diploma Supplement, das Bestandteil jedes Abschlusszeugnisses ist.</w:t>
      </w:r>
    </w:p>
    <w:p>
      <w:r>
        <w:rPr>
          <w:color w:val="555555"/>
          <w:sz w:val="17"/>
        </w:rPr>
        <w:t xml:space="preserve">Zitiervorschlag: § 6 StudakVO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https://recht.nulegal.eu/gesetze/StudakVO/6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