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StudakVO (Nordrhein-Westfalen) — Zugangsvoraussetzungen und Übergänge zwischen Studienangeboten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Zugangsvoraussetzung für einen Masterstudiengang ist ein erster berufsqualifizierender Hochschulabschluss. Weiterbildende Masterstudiengänge setzen qualifizierte berufspraktische Erfahrung von nicht unter einem Jahr voraus; für einzelne Studierende sind in begründeten Ausnahmefällen Abweichungen möglich.</w:t>
      </w:r>
    </w:p>
    <w:p>
      <w:r>
        <w:t xml:space="preserve">(2) Als Zugangsvoraussetzung für künstlerische Masterstudiengänge ist die hierfür erforderliche besondere künstlerische Eignung nachzuweisen.</w:t>
      </w:r>
    </w:p>
    <w:p>
      <w:r>
        <w:t xml:space="preserve">(3) Die Zugangsvoraussetzungen zu Masterstudiengängen nach dem Hochschulgesetz oder dem Kunsthochschulgesetz bleiben im Übrigen unberührt.</w:t>
      </w:r>
    </w:p>
    <w:p>
      <w:r>
        <w:rPr>
          <w:color w:val="555555"/>
          <w:sz w:val="17"/>
        </w:rPr>
        <w:t xml:space="preserve">Zitiervorschlag: § 5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