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StudakVO (Nordrhein-Westfalen) — Studiengangprofile</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Masterstudiengänge können nach anwendungsorientiertem und forschungsorientiertem Profil unterschieden werden. Masterstudiengänge an Kunst- und Musikhochschulen können ein besonderes künstlerisches Profil haben. Masterstudiengänge, in denen die Bildungsvoraussetzungen für ein Lehramt vermittelt werden, haben ein besonderes lehramtsbezogenes Profil. Legt die Hochschule ein Profil fest, ist dies in der Akkreditierung festzustellen.</w:t>
      </w:r>
    </w:p>
    <w:p>
      <w:r>
        <w:t xml:space="preserve">(2) Bei der Einrichtung eines Masterstudiengangs ist festzulegen, ob er konsekutiv oder weiterbildend ist. Weiterbildende Masterstudiengänge entsprechen in den Vorgaben zur Regelstudienzeit und zur Abschlussarbeit den konsekutiven Masterstudiengängen und führen zu dem gleichen Qualifikationsniveau und zu denselben Berechtigungen.</w:t>
      </w:r>
    </w:p>
    <w:p>
      <w:r>
        <w:t xml:space="preserve">(3) Bachelor- und Masterstudiengänge sehen eine Abschlussarbeit vor, mit der die Fähigkeit nachgewiesen wird, innerhalb einer vorgegebenen Frist ein Problem aus dem jeweiligen Fach selbständig nach wissenschaftlichen oder künstlerischen Methoden zu bearbeiten.</w:t>
      </w:r>
    </w:p>
    <w:p>
      <w:r>
        <w:rPr>
          <w:color w:val="555555"/>
          <w:sz w:val="17"/>
        </w:rPr>
        <w:t xml:space="preserve">Zitiervorschlag: § 4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