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StudakVO (Nordrhein-Westfalen) — Kombinationsstudiengänge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Wählen die Studierenden aus einer größeren Zahl zulässiger Fächer für das Studium einzelne Fächer aus, ist jedes dieser Fächer ein Teilstudiengang als Teil eines Kombinationsstudiengangs.</w:t>
      </w:r>
    </w:p>
    <w:p>
      <w:r>
        <w:t xml:space="preserve">(2) Akkreditierungsgegenstand ist der Kombinationsstudiengang. Die Hochschulen stellen durch ihr jeweiliges Qualitätsmanagement sicher, dass die Studierbarkeit nach § 12 Absatz 5 in allen möglichen Fächerkombinationen gegeben ist.</w:t>
      </w:r>
    </w:p>
    <w:p>
      <w:r>
        <w:t xml:space="preserve">(3) Die Akkreditierung eines Kombinationsstudiengangs kann durch die Aufnahme weiterer wählbarer Teilstudiengänge oder Studienfächer ergänzt werden. Die Akkreditierungsfrist für den Kombinationsstudiengang ändert sich dadurch nicht.</w:t>
      </w:r>
    </w:p>
    <w:p>
      <w:r>
        <w:t xml:space="preserve">(4) Auf der Akkreditierungsurkunde werden alle in die Akkreditierung einbezogenen Teilstudiengänge oder Studienfächer aufgeführt. Im Falle der Ergänzung der Akkreditierung nach Absatz 3 ist eine neue Akkreditierungsurkunde auszustellen.</w:t>
      </w:r>
    </w:p>
    <w:p>
      <w:r>
        <w:t xml:space="preserve">(5) Die Regelungen von Teil 4 dieser Verordnung bleiben im Übrigen unberührt.</w:t>
      </w:r>
    </w:p>
    <w:p>
      <w:r>
        <w:rPr>
          <w:color w:val="555555"/>
          <w:sz w:val="17"/>
        </w:rPr>
        <w:t xml:space="preserve">Zitiervorschlag: § 32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