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StudakVO (Nordrhein-Westfalen) — Bündelakkreditierung, Teil-Systemakkreditierung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Gutachten des Gutachtergremiums nach § 24 Absatz 4 kann mehrere Studiengänge umfassen, wenn diese eine hohe fachliche Nähe aufweisen, die über die bloße Zugehörigkeit zu einer Fächerkultur (Geistes- und Kulturwissenschaften, Sozialwissenschaften oder Naturwissenschaften) hinausgeht (Bündelakkreditierung). Die fachlich-inhaltlichen Kriterien nach Teil 3 dieser Verordnung sind für jeden Studiengang gesondert zu prüfen. Ein Bündel soll sich aus nicht mehr als zehn Studiengängen zusammensetzen.</w:t>
      </w:r>
    </w:p>
    <w:p>
      <w:r>
        <w:t xml:space="preserve">(2) Bündel mit mehr als vier Studiengängen sind durch den Akkreditierungsrat vor Einreichung des Antrags zu genehmigen. Dies gilt für Kombinationsstudiengänge unabhängig von der Größe des Bündels.</w:t>
      </w:r>
    </w:p>
    <w:p>
      <w:r>
        <w:t xml:space="preserve">(3) Im Ausnahmefall kann eine studienorganisatorische Teileinheit der Hochschule Gegenstand der Systemakkreditierung sein. Dies kann insbesondere der Fall sein, wenn</w:t>
      </w:r>
    </w:p>
    <w:p>
      <w:r>
        <w:t xml:space="preserve">1. die Akkreditierung des Qualitätsmanagementsystems für die gesamte Hochschule noch nicht sinnvoll oder nicht praktikabel ist,</w:t>
      </w:r>
    </w:p>
    <w:p>
      <w:r>
        <w:t xml:space="preserve">2. das Qualitätsmanagementsystem der Teileinheit in die Hochschule integriert ist und</w:t>
      </w:r>
    </w:p>
    <w:p>
      <w:r>
        <w:t xml:space="preserve">3. mindestens ein Studiengang der Teileinheit dieses System bereits durchlaufen hat.</w:t>
      </w:r>
    </w:p>
    <w:p>
      <w:r>
        <w:rPr>
          <w:color w:val="555555"/>
          <w:sz w:val="17"/>
        </w:rPr>
        <w:t xml:space="preserve">Zitiervorschlag: § 30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