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StudakVO (Nordrhein-Westfalen) — Studienstruktur und Studiendauer Anerkennung und Anrechnung</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System gestufter Studiengänge ist der Bachelorabschluss der erste berufsqualifizierende Regelabschluss eines Hochschulstudiums; der Masterabschluss stellt einen weiteren berufsqualifizierenden Hochschulabschluss dar. Grundständige Studiengänge, die unmittelbar zu einem Masterabschluss führen, sind mit Ausnahme der in Absatz 3 genannten Studiengänge ausgeschlossen.</w:t>
      </w:r>
    </w:p>
    <w:p>
      <w:r>
        <w:t xml:space="preserve">(2) Die Regelstudienzeiten für ein Vollzeitstudium betragen sechs, sieben oder acht Semester bei den Bachelorstudiengängen und vier, drei oder zwei Semester bei den Masterstudiengängen. Im Bachelorstudium beträgt die Regelstudienzeit im Vollzeitstudium mindestens drei Jahre. Bei konsekutiven Studiengängen beträgt die Gesamtregelstudienzeit im Vollzeitstudium fünf Jahre (zehn Semester). Kürzere und längere Regelstudienzeiten sind bei entsprechender studienorganisatorischer Gestaltung ausnahmsweise möglich, um den Studierenden eine individuelle Lernbiografie, insbesondere durch Teilzeit-, Fern-, berufsbegleitendes oder duales Studium sowie berufspraktische Semester, zu ermöglichen. Abweichend von Satz 3 können in den künstlerischen Kernfächern an Kunst- und Musikhochschulen nach näherer Bestimmung des Kunsthochschulgesetzes konsekutive Bachelor- und Masterstudiengänge auch mit einer Gesamtregelstudienzeit von sechs Jahren eingerichtet werden.</w:t>
      </w:r>
    </w:p>
    <w:p>
      <w:r>
        <w:t xml:space="preserve">(3) Theologische Studiengänge, die für das Pfarramt, das Priesteramt und den Beruf der Pastoralreferentin oder des Pastoralreferenten qualifizieren („Theologisches Vollstudium“), müssen nicht gestuft sein und können eine Regelstudienzeit von zehn Semestern aufweisen.</w:t>
      </w:r>
    </w:p>
    <w:p>
      <w:r>
        <w:t xml:space="preserve">(4) Die Hochschule setzt die nationalen und landesgesetzlichen Regelungen zur Anerkennung von Kompetenzen, Qualifikationen und Leistungen, die an einer Hochschule erbracht wurden, sowie zur Anrechnung von Kompetenzen und Qualifikationen, die außerhalb von Hochschulen erworben wurden, um.</w:t>
      </w:r>
    </w:p>
    <w:p>
      <w:r>
        <w:rPr>
          <w:color w:val="555555"/>
          <w:sz w:val="17"/>
        </w:rPr>
        <w:t xml:space="preserve">Zitiervorschlag: § 3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