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StudakVO (Nordrhein-Westfalen) — Anzeigepflicht bei Änderungen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 ist verpflichtet, dem Akkreditierungsrat unverzüglich jede wesentliche Änderung am Akkreditierungsgegenstand während des Geltungszeitraums der Akkreditierung anzuzeigen.</w:t>
      </w:r>
    </w:p>
    <w:p>
      <w:r>
        <w:t xml:space="preserve">(2) Der Akkreditierungsrat entscheidet, ob die wesentliche Änderung von der bestehenden Akkreditierung umfasst ist.</w:t>
      </w:r>
    </w:p>
    <w:p>
      <w:r>
        <w:rPr>
          <w:color w:val="555555"/>
          <w:sz w:val="17"/>
        </w:rPr>
        <w:t xml:space="preserve">Zitiervorschlag: § 28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