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StudakVO (Nordrhein-Westfalen) — Auflagen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Erfüllung einer Auflage ist eine Frist von in der Regel zwölf Monaten zu setzen.</w:t>
      </w:r>
    </w:p>
    <w:p>
      <w:r>
        <w:t xml:space="preserve">(2) In begründeten Ausnahmefällen kann die Frist auf Antrag der Hochschule verlängert werden.</w:t>
      </w:r>
    </w:p>
    <w:p>
      <w:r>
        <w:t xml:space="preserve">(3) Die Erfüllung der Auflage ist gegenüber dem Akkreditierungsrat nachzuweisen.</w:t>
      </w:r>
    </w:p>
    <w:p>
      <w:r>
        <w:rPr>
          <w:color w:val="555555"/>
          <w:sz w:val="17"/>
        </w:rPr>
        <w:t xml:space="preserve">Zitiervorschlag: § 27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