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StudakVO (Nordrhein-Westfalen) — Bachelorausbildungsgänge an Berufsakademien</w:t>
      </w:r>
    </w:p>
    <w:p>
      <w:r>
        <w:rPr>
          <w:color w:val="555555"/>
          <w:sz w:val="18"/>
        </w:rPr>
        <w:t xml:space="preserve">Studienakkreditierungsverordnung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Hinsichtlich der Bachelorabschlüsse einer staatlichen oder staatlich anerkannten Berufsakademie, die auf der Grundlage des Studienakkreditierungsstaatsvertrages akkreditiert sind, gilt § 1 Absatz 2.</w:t>
      </w:r>
    </w:p>
    <w:p>
      <w:r>
        <w:t xml:space="preserve">Teil 4</w:t>
      </w:r>
    </w:p>
    <w:p>
      <w:r>
        <w:t xml:space="preserve">Verfahrensregeln für die Programm- und Systemakkreditierung</w:t>
      </w:r>
    </w:p>
    <w:p>
      <w:r>
        <w:rPr>
          <w:color w:val="555555"/>
          <w:sz w:val="17"/>
        </w:rPr>
        <w:t xml:space="preserve">Zitiervorschlag: § 21 StudakVO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https://recht.nulegal.eu/gesetze/StudakVO/21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