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StudakVO (Nordrhein-Westfalen) — Formen der Akkreditierung</w:t>
      </w:r>
    </w:p>
    <w:p>
      <w:r>
        <w:rPr>
          <w:color w:val="555555"/>
          <w:sz w:val="18"/>
        </w:rPr>
        <w:t xml:space="preserve">Studienakkreditierungsverordnung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Formen der Akkreditierung sind die Verfahren nach Artikel 3 Absatz 1 Nummer 1 des Studienakkreditierungsstaatsvertrages (Systemakkreditierung), nach Artikel 3 Absatz 1 Nummer 2 des Studienakkreditierungsstaatsvertrages (Programmakkreditierung) oder alternative Akkreditierungsverfahren nach Artikel 3 Absatz 1 Nummer 3 des Studienakkreditierungsstaatsvertrages.</w:t>
      </w:r>
    </w:p>
    <w:p>
      <w:r>
        <w:t xml:space="preserve">Teil 2</w:t>
      </w:r>
    </w:p>
    <w:p>
      <w:r>
        <w:t xml:space="preserve">Formale Kriterien für Studiengänge</w:t>
      </w:r>
    </w:p>
    <w:p>
      <w:r>
        <w:rPr>
          <w:color w:val="555555"/>
          <w:sz w:val="17"/>
        </w:rPr>
        <w:t xml:space="preserve">Zitiervorschlag: § 2 StudakVO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https://recht.nulegal.eu/gesetze/StudakVO/2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